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8F844">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Product Name: </w:t>
      </w:r>
      <w:r>
        <w:rPr>
          <w:rFonts w:hint="default" w:ascii="Times New Roman" w:hAnsi="Times New Roman" w:eastAsia="SimSun" w:cs="Times New Roman"/>
          <w:b/>
          <w:bCs/>
          <w:sz w:val="24"/>
          <w:szCs w:val="24"/>
        </w:rPr>
        <w:t>PRP &amp; PRF Clinical Centrifuge Machine (DM0506) | 300–5000 RPM | LCD Display | Brushless Motor | CE &amp; ISO Certified</w:t>
      </w:r>
    </w:p>
    <w:p w14:paraId="1027C551">
      <w:pPr>
        <w:rPr>
          <w:rFonts w:ascii="SimSun" w:hAnsi="SimSun" w:eastAsia="SimSun" w:cs="SimSun"/>
          <w:sz w:val="24"/>
          <w:szCs w:val="24"/>
        </w:rPr>
      </w:pPr>
      <w:bookmarkStart w:id="0" w:name="_GoBack"/>
      <w:bookmarkEnd w:id="0"/>
    </w:p>
    <w:p w14:paraId="255AA51E">
      <w:r>
        <w:rPr>
          <w:b/>
        </w:rPr>
        <w:t>Short Description</w:t>
      </w:r>
      <w:r>
        <w:rPr>
          <w:b/>
        </w:rPr>
        <w:br w:type="textWrapping"/>
      </w:r>
      <w:r>
        <w:t>Professional low-speed laboratory centrifuge designed for PRP, PRF, blood, urine, and laboratory sample separation. Features a maintenance-free brushless DC motor, LCD display, programmable settings, and a fixed-angle 6-place rotor compatible with 1.5–15 ml tubes. Suitable for hospitals, aesthetic clinics, diagnostic laboratories, and research facilities.</w:t>
      </w:r>
    </w:p>
    <w:p w14:paraId="20799A64">
      <w:pPr>
        <w:pStyle w:val="3"/>
      </w:pPr>
      <w:r>
        <w:t>Long Description</w:t>
      </w:r>
    </w:p>
    <w:p w14:paraId="3DA2BFEF">
      <w:r>
        <w:t>The PRP &amp; PRF Clinical Centrifuge Machine (DM0506) is a professional laboratory centrifuge engineered for medical, aesthetic, and laboratory applications. It is suitable for PRP preparation, PRF protocols, blood component separation, urine analysis, and routine laboratory procedures. Powered by a brushless DC motor, it offers quiet operation, stable speed, and long service life. The LCD display allows easy monitoring of RPM, RCF, and timer settings, while two programmable memory modes simplify repetitive workflows.</w:t>
      </w:r>
    </w:p>
    <w:p w14:paraId="23AA1459">
      <w:pPr>
        <w:pStyle w:val="3"/>
      </w:pPr>
      <w:r>
        <w:t>Key Features</w:t>
      </w:r>
    </w:p>
    <w:p w14:paraId="5D0AC323">
      <w:r>
        <w:t>• Speed Range: 300–5000 RPM</w:t>
      </w:r>
      <w:r>
        <w:br w:type="textWrapping"/>
      </w:r>
      <w:r>
        <w:t>• Maximum RCF: 2350 × g</w:t>
      </w:r>
      <w:r>
        <w:br w:type="textWrapping"/>
      </w:r>
      <w:r>
        <w:t>• LCD Display</w:t>
      </w:r>
      <w:r>
        <w:br w:type="textWrapping"/>
      </w:r>
      <w:r>
        <w:t>• Brushless DC Motor</w:t>
      </w:r>
      <w:r>
        <w:br w:type="textWrapping"/>
      </w:r>
      <w:r>
        <w:t>• RPM/RCF Switching</w:t>
      </w:r>
      <w:r>
        <w:br w:type="textWrapping"/>
      </w:r>
      <w:r>
        <w:t>• Two Programmable Memory Modes (P1/P2)</w:t>
      </w:r>
      <w:r>
        <w:br w:type="textWrapping"/>
      </w:r>
      <w:r>
        <w:t>• Adjustable Deceleration</w:t>
      </w:r>
      <w:r>
        <w:br w:type="textWrapping"/>
      </w:r>
      <w:r>
        <w:t>• Automatic Lid Lock Release</w:t>
      </w:r>
      <w:r>
        <w:br w:type="textWrapping"/>
      </w:r>
      <w:r>
        <w:t>• Sound Alert</w:t>
      </w:r>
      <w:r>
        <w:br w:type="textWrapping"/>
      </w:r>
      <w:r>
        <w:t>• Maintenance-Free Motor</w:t>
      </w:r>
      <w:r>
        <w:br w:type="textWrapping"/>
      </w:r>
      <w:r>
        <w:t>• Compact Design</w:t>
      </w:r>
      <w:r>
        <w:br w:type="textWrapping"/>
      </w:r>
      <w:r>
        <w:t>• CE &amp; ISO Certified</w:t>
      </w:r>
    </w:p>
    <w:p w14:paraId="7F972134">
      <w:pPr>
        <w:pStyle w:val="3"/>
      </w:pPr>
      <w:r>
        <w:t>Applications</w:t>
      </w:r>
    </w:p>
    <w:p w14:paraId="5AFC95A7">
      <w:pPr>
        <w:bidi w:val="0"/>
        <w:rPr>
          <w:rFonts w:hint="default" w:ascii="Arial Black" w:hAnsi="Arial Black" w:cs="Arial Black"/>
        </w:rPr>
      </w:pPr>
      <w:r>
        <w:rPr>
          <w:rFonts w:hint="default" w:ascii="Arial Black" w:hAnsi="Arial Black" w:cs="Arial Black"/>
        </w:rPr>
        <w:t>PRP Preparation</w:t>
      </w:r>
      <w:r>
        <w:rPr>
          <w:rFonts w:hint="default" w:ascii="Arial Black" w:hAnsi="Arial Black" w:cs="Arial Black"/>
        </w:rPr>
        <w:br w:type="textWrapping"/>
      </w:r>
      <w:r>
        <w:rPr>
          <w:rFonts w:hint="default" w:ascii="Arial Black" w:hAnsi="Arial Black" w:cs="Arial Black"/>
        </w:rPr>
        <w:t>PRF Preparation</w:t>
      </w:r>
      <w:r>
        <w:rPr>
          <w:rFonts w:hint="default" w:ascii="Arial Black" w:hAnsi="Arial Black" w:cs="Arial Black"/>
        </w:rPr>
        <w:br w:type="textWrapping"/>
      </w:r>
      <w:r>
        <w:rPr>
          <w:rFonts w:hint="default" w:ascii="Arial Black" w:hAnsi="Arial Black" w:cs="Arial Black"/>
        </w:rPr>
        <w:t>Blood Separation</w:t>
      </w:r>
      <w:r>
        <w:rPr>
          <w:rFonts w:hint="default" w:ascii="Arial Black" w:hAnsi="Arial Black" w:cs="Arial Black"/>
        </w:rPr>
        <w:br w:type="textWrapping"/>
      </w:r>
      <w:r>
        <w:rPr>
          <w:rFonts w:hint="default" w:ascii="Arial Black" w:hAnsi="Arial Black" w:cs="Arial Black"/>
        </w:rPr>
        <w:t>Plasma Separation</w:t>
      </w:r>
      <w:r>
        <w:rPr>
          <w:rFonts w:hint="default" w:ascii="Arial Black" w:hAnsi="Arial Black" w:cs="Arial Black"/>
        </w:rPr>
        <w:br w:type="textWrapping"/>
      </w:r>
      <w:r>
        <w:rPr>
          <w:rFonts w:hint="default" w:ascii="Arial Black" w:hAnsi="Arial Black" w:cs="Arial Black"/>
        </w:rPr>
        <w:t>Serum Separation</w:t>
      </w:r>
      <w:r>
        <w:rPr>
          <w:rFonts w:hint="default" w:ascii="Arial Black" w:hAnsi="Arial Black" w:cs="Arial Black"/>
        </w:rPr>
        <w:br w:type="textWrapping"/>
      </w:r>
      <w:r>
        <w:rPr>
          <w:rFonts w:hint="default" w:ascii="Arial Black" w:hAnsi="Arial Black" w:cs="Arial Black"/>
        </w:rPr>
        <w:t>Urine Sample Processing</w:t>
      </w:r>
      <w:r>
        <w:rPr>
          <w:rFonts w:hint="default" w:ascii="Arial Black" w:hAnsi="Arial Black" w:cs="Arial Black"/>
        </w:rPr>
        <w:br w:type="textWrapping"/>
      </w:r>
      <w:r>
        <w:rPr>
          <w:rFonts w:hint="default" w:ascii="Arial Black" w:hAnsi="Arial Black" w:cs="Arial Black"/>
        </w:rPr>
        <w:t>Clinical Laboratories</w:t>
      </w:r>
      <w:r>
        <w:rPr>
          <w:rFonts w:hint="default" w:ascii="Arial Black" w:hAnsi="Arial Black" w:cs="Arial Black"/>
        </w:rPr>
        <w:br w:type="textWrapping"/>
      </w:r>
      <w:r>
        <w:rPr>
          <w:rFonts w:hint="default" w:ascii="Arial Black" w:hAnsi="Arial Black" w:cs="Arial Black"/>
        </w:rPr>
        <w:t>Diagnostic Centers</w:t>
      </w:r>
      <w:r>
        <w:rPr>
          <w:rFonts w:hint="default" w:ascii="Arial Black" w:hAnsi="Arial Black" w:cs="Arial Black"/>
        </w:rPr>
        <w:br w:type="textWrapping"/>
      </w:r>
      <w:r>
        <w:rPr>
          <w:rFonts w:hint="default" w:ascii="Arial Black" w:hAnsi="Arial Black" w:cs="Arial Black"/>
        </w:rPr>
        <w:t>Research Institutes</w:t>
      </w:r>
      <w:r>
        <w:rPr>
          <w:rFonts w:hint="default" w:ascii="Arial Black" w:hAnsi="Arial Black" w:cs="Arial Black"/>
        </w:rPr>
        <w:br w:type="textWrapping"/>
      </w:r>
      <w:r>
        <w:rPr>
          <w:rFonts w:hint="default" w:ascii="Arial Black" w:hAnsi="Arial Black" w:cs="Arial Black"/>
        </w:rPr>
        <w:t>Aesthetic Clinics</w:t>
      </w:r>
      <w:r>
        <w:rPr>
          <w:rFonts w:hint="default" w:ascii="Arial Black" w:hAnsi="Arial Black" w:cs="Arial Black"/>
        </w:rPr>
        <w:br w:type="textWrapping"/>
      </w:r>
      <w:r>
        <w:rPr>
          <w:rFonts w:hint="default" w:ascii="Arial Black" w:hAnsi="Arial Black" w:cs="Arial Black"/>
        </w:rPr>
        <w:t>Hair Restoration Clinics</w:t>
      </w:r>
    </w:p>
    <w:p w14:paraId="4E67A56F">
      <w:pPr>
        <w:pStyle w:val="3"/>
      </w:pPr>
      <w:r>
        <w:t>Compatible Tube Sizes</w:t>
      </w:r>
    </w:p>
    <w:p w14:paraId="2C6239A0">
      <w:r>
        <w:t>1.5 ml</w:t>
      </w:r>
      <w:r>
        <w:br w:type="textWrapping"/>
      </w:r>
      <w:r>
        <w:t>2 ml</w:t>
      </w:r>
      <w:r>
        <w:br w:type="textWrapping"/>
      </w:r>
      <w:r>
        <w:t>5 ml</w:t>
      </w:r>
      <w:r>
        <w:br w:type="textWrapping"/>
      </w:r>
      <w:r>
        <w:t>7 ml</w:t>
      </w:r>
      <w:r>
        <w:br w:type="textWrapping"/>
      </w:r>
      <w:r>
        <w:t>9.5 ml PRP Tube</w:t>
      </w:r>
      <w:r>
        <w:br w:type="textWrapping"/>
      </w:r>
      <w:r>
        <w:t>10 ml</w:t>
      </w:r>
      <w:r>
        <w:br w:type="textWrapping"/>
      </w:r>
      <w:r>
        <w:t>12 ml PRP Tube</w:t>
      </w:r>
      <w:r>
        <w:br w:type="textWrapping"/>
      </w:r>
      <w:r>
        <w:t>15 ml</w:t>
      </w:r>
      <w:r>
        <w:br w:type="textWrapping"/>
      </w:r>
      <w:r>
        <w:t>Rotor Capacity: 6 × 15 ml</w:t>
      </w:r>
    </w:p>
    <w:p w14:paraId="0A2306BF">
      <w:pPr>
        <w:pStyle w:val="3"/>
      </w:pPr>
      <w:r>
        <w:t>Technical Specifications</w:t>
      </w:r>
    </w:p>
    <w:p w14:paraId="14DF8E54">
      <w:r>
        <w:t>Model: DM0506 / CF0506</w:t>
      </w:r>
      <w:r>
        <w:br w:type="textWrapping"/>
      </w:r>
      <w:r>
        <w:t>Brand: WEIAI</w:t>
      </w:r>
      <w:r>
        <w:br w:type="textWrapping"/>
      </w:r>
      <w:r>
        <w:t>Max Speed: 5000 RPM</w:t>
      </w:r>
      <w:r>
        <w:br w:type="textWrapping"/>
      </w:r>
      <w:r>
        <w:t>Speed Range: 300–5000 RPM</w:t>
      </w:r>
      <w:r>
        <w:br w:type="textWrapping"/>
      </w:r>
      <w:r>
        <w:t>Max RCF: 2350 × g</w:t>
      </w:r>
      <w:r>
        <w:br w:type="textWrapping"/>
      </w:r>
      <w:r>
        <w:t>Display: LCD</w:t>
      </w:r>
      <w:r>
        <w:br w:type="textWrapping"/>
      </w:r>
      <w:r>
        <w:t>Motor: Brushless DC Motor</w:t>
      </w:r>
      <w:r>
        <w:br w:type="textWrapping"/>
      </w:r>
      <w:r>
        <w:t>Power Supply: AC 110V/220V, 50/60Hz</w:t>
      </w:r>
      <w:r>
        <w:br w:type="textWrapping"/>
      </w:r>
      <w:r>
        <w:t>Dimensions: 300 × 240 × 180 mm</w:t>
      </w:r>
      <w:r>
        <w:br w:type="textWrapping"/>
      </w:r>
      <w:r>
        <w:t>Weight: 5.2 kg</w:t>
      </w:r>
      <w:r>
        <w:br w:type="textWrapping"/>
      </w:r>
      <w:r>
        <w:t>Package Size: 400 × 350 × 270 mm</w:t>
      </w:r>
      <w:r>
        <w:br w:type="textWrapping"/>
      </w:r>
      <w:r>
        <w:t>Warranty: 1 Year</w:t>
      </w:r>
      <w:r>
        <w:br w:type="textWrapping"/>
      </w:r>
      <w:r>
        <w:t>Certificates: CE, ISO, FCC, FDA, LVD (as applicable from supplier documentation)</w:t>
      </w:r>
    </w:p>
    <w:p w14:paraId="0F7763C7">
      <w:pPr>
        <w:pStyle w:val="3"/>
      </w:pPr>
      <w:r>
        <w:t>How to Use</w:t>
      </w:r>
    </w:p>
    <w:p w14:paraId="692340F4">
      <w:r>
        <w:t>1. Collect samples using appropriate sterile tubes.</w:t>
      </w:r>
      <w:r>
        <w:br w:type="textWrapping"/>
      </w:r>
      <w:r>
        <w:t>2. Balance the rotor with equal-weight tubes opposite each other.</w:t>
      </w:r>
      <w:r>
        <w:br w:type="textWrapping"/>
      </w:r>
      <w:r>
        <w:t>3. Insert tubes securely and close the lid.</w:t>
      </w:r>
      <w:r>
        <w:br w:type="textWrapping"/>
      </w:r>
      <w:r>
        <w:t>4. Set RPM/RCF and timer as required.</w:t>
      </w:r>
      <w:r>
        <w:br w:type="textWrapping"/>
      </w:r>
      <w:r>
        <w:t>5. Press Start to begin centrifugation.</w:t>
      </w:r>
      <w:r>
        <w:br w:type="textWrapping"/>
      </w:r>
      <w:r>
        <w:t>6. Wait until the cycle completes and the lid unlocks automatically.</w:t>
      </w:r>
      <w:r>
        <w:br w:type="textWrapping"/>
      </w:r>
      <w:r>
        <w:t>7. Remove samples carefully and continue processing according to your validated protocol.</w:t>
      </w:r>
      <w:r>
        <w:br w:type="textWrapping"/>
      </w:r>
      <w:r>
        <w:br w:type="textWrapping"/>
      </w:r>
      <w:r>
        <w:t>Example Settings:</w:t>
      </w:r>
      <w:r>
        <w:br w:type="textWrapping"/>
      </w:r>
      <w:r>
        <w:t>• PRP: 4000 RPM for 5 minutes</w:t>
      </w:r>
      <w:r>
        <w:br w:type="textWrapping"/>
      </w:r>
      <w:r>
        <w:t>• PRF: 2700 RPM for 7 minutes</w:t>
      </w:r>
      <w:r>
        <w:br w:type="textWrapping"/>
      </w:r>
      <w:r>
        <w:br w:type="textWrapping"/>
      </w:r>
      <w:r>
        <w:t>Note: These are example settings only. Always follow the validated protocol recommended by your laboratory, clinician, or tube manufacturer.</w:t>
      </w:r>
    </w:p>
    <w:p w14:paraId="0547EB7A">
      <w:pPr>
        <w:pStyle w:val="3"/>
      </w:pPr>
      <w:r>
        <w:t>Safety Instructions</w:t>
      </w:r>
    </w:p>
    <w:p w14:paraId="58EADC8F">
      <w:r>
        <w:t>• Always balance tubes.</w:t>
      </w:r>
      <w:r>
        <w:br w:type="textWrapping"/>
      </w:r>
      <w:r>
        <w:t>• Never exceed rotor capacity.</w:t>
      </w:r>
      <w:r>
        <w:br w:type="textWrapping"/>
      </w:r>
      <w:r>
        <w:t>• Do not open the lid during operation.</w:t>
      </w:r>
      <w:r>
        <w:br w:type="textWrapping"/>
      </w:r>
      <w:r>
        <w:t>• Place the centrifuge on a stable, level surface.</w:t>
      </w:r>
      <w:r>
        <w:br w:type="textWrapping"/>
      </w:r>
      <w:r>
        <w:t>• Clean the rotor regularly.</w:t>
      </w:r>
      <w:r>
        <w:br w:type="textWrapping"/>
      </w:r>
      <w:r>
        <w:t>• Disconnect power before maintenance.</w:t>
      </w:r>
      <w:r>
        <w:br w:type="textWrapping"/>
      </w:r>
      <w:r>
        <w:t>• Use compatible centrifuge tubes only.</w:t>
      </w:r>
    </w:p>
    <w:p w14:paraId="6B67BAEC">
      <w:pPr>
        <w:pStyle w:val="3"/>
      </w:pPr>
      <w:r>
        <w:t>Package Includes</w:t>
      </w:r>
    </w:p>
    <w:p w14:paraId="7DDA996A">
      <w:r>
        <w:t>• 1 × Centrifuge Machine</w:t>
      </w:r>
      <w:r>
        <w:br w:type="textWrapping"/>
      </w:r>
      <w:r>
        <w:t>• 1 × Fixed Angle Rotor (6 × 15 ml)</w:t>
      </w:r>
      <w:r>
        <w:br w:type="textWrapping"/>
      </w:r>
      <w:r>
        <w:t>• 1 × Power Cable</w:t>
      </w:r>
      <w:r>
        <w:br w:type="textWrapping"/>
      </w:r>
      <w:r>
        <w:t>• 1 × User Manual</w:t>
      </w:r>
    </w:p>
    <w:p w14:paraId="5C97CDDA">
      <w:pPr>
        <w:pStyle w:val="3"/>
      </w:pPr>
      <w:r>
        <w:t>SEO Keywords</w:t>
      </w:r>
    </w:p>
    <w:p w14:paraId="119AD5E2">
      <w:r>
        <w:t>PRP Centrifuge Machine, PRF Centrifuge, Platelet Rich Plasma Centrifuge, Laboratory Centrifuge, Blood Centrifuge, Clinical Centrifuge, Regenerative Medicine Equipment, LCD Centrifuge, Low Speed Centrifuge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7368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492</Words>
  <Characters>2711</Characters>
  <Lines>0</Lines>
  <Paragraphs>0</Paragraphs>
  <TotalTime>2</TotalTime>
  <ScaleCrop>false</ScaleCrop>
  <LinksUpToDate>false</LinksUpToDate>
  <CharactersWithSpaces>3122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Azira Kam</cp:lastModifiedBy>
  <dcterms:modified xsi:type="dcterms:W3CDTF">2026-07-03T06:16:56Z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eyJoZGlkIjoiMmZjZGQzODYzOWJmNjA1M2NiNGY5NDczMTQyOWJlNjUiLCJ1c2VySWQiOiIzMTc4ODQ5MTU2Mjk1In0=</vt:lpwstr>
  </property>
  <property fmtid="{D5CDD505-2E9C-101B-9397-08002B2CF9AE}" pid="3" name="KSOProductBuildVer">
    <vt:lpwstr>1033-12.1.0.26880</vt:lpwstr>
  </property>
  <property fmtid="{D5CDD505-2E9C-101B-9397-08002B2CF9AE}" pid="4" name="ICV">
    <vt:lpwstr>D6A3DA9F817F404ABA2C8C659E5A6F65_12</vt:lpwstr>
  </property>
</Properties>
</file>