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C3557"/>
          <w:sz w:val="34"/>
          <w:szCs w:val="34"/>
        </w:rPr>
        <w:t xml:space="preserve">CONTRACTOR PERFORMANCE ASSESSMENT REPORT (CPAR)</w:t>
      </w:r>
    </w:p>
    <w:p>
      <w:pPr>
        <w:spacing w:after="60" w:before="0"/>
        <w:jc w:val="center"/>
      </w:pPr>
      <w:r>
        <w:rPr>
          <w:rFonts w:ascii="Arial" w:cs="Arial" w:eastAsia="Arial" w:hAnsi="Arial"/>
          <w:color w:val="555555"/>
          <w:sz w:val="24"/>
          <w:szCs w:val="24"/>
        </w:rPr>
        <w:t xml:space="preserve">Department of War — Firm-Fixed-Price / Systems</w:t>
      </w:r>
    </w:p>
    <w:p>
      <w:pPr>
        <w:spacing w:after="240" w:before="0"/>
        <w:jc w:val="center"/>
      </w:pPr>
      <w:r>
        <w:rPr>
          <w:rFonts w:ascii="Arial" w:cs="Arial" w:eastAsia="Arial" w:hAnsi="Arial"/>
          <w:color w:val="555555"/>
          <w:sz w:val="22"/>
          <w:szCs w:val="22"/>
        </w:rPr>
        <w:t xml:space="preserve">Final Report — Full Period of Performance</w:t>
      </w:r>
    </w:p>
    <w:p>
      <w:pPr>
        <w:pStyle w:val="Heading1"/>
        <w:pBdr>
          <w:bottom w:val="single" w:color="1C3557" w:sz="3" w:space="1"/>
        </w:pBdr>
        <w:spacing w:after="120" w:before="280"/>
      </w:pPr>
      <w:r>
        <w:rPr>
          <w:rFonts w:ascii="Arial" w:cs="Arial" w:eastAsia="Arial" w:hAnsi="Arial"/>
          <w:b/>
          <w:bCs/>
          <w:color w:val="1C3557"/>
          <w:sz w:val="26"/>
          <w:szCs w:val="26"/>
        </w:rPr>
        <w:t xml:space="preserve">Blocks 1–17: Registered Contract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C3557" w:sz="4"/>
              <w:left w:val="single" w:color="1C3557" w:sz="4"/>
              <w:bottom w:val="single" w:color="1C3557" w:sz="4"/>
              <w:right w:val="single" w:color="1C3557" w:sz="4"/>
            </w:tcBorders>
            <w:shd w:fill="1C3557"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760"/>
            <w:tcBorders>
              <w:top w:val="single" w:color="1C3557" w:sz="4"/>
              <w:left w:val="single" w:color="1C3557" w:sz="4"/>
              <w:bottom w:val="single" w:color="1C3557" w:sz="4"/>
              <w:right w:val="single" w:color="1C3557" w:sz="4"/>
            </w:tcBorders>
            <w:shd w:fill="1C3557"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60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b/>
                <w:bCs/>
                <w:sz w:val="20"/>
                <w:szCs w:val="20"/>
              </w:rPr>
              <w:t xml:space="preserve">Block 1: CAGE / UEI</w:t>
            </w:r>
          </w:p>
        </w:tc>
        <w:tc>
          <w:tcPr>
            <w:tcW w:type="dxa" w:w="576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20"/>
                <w:szCs w:val="20"/>
              </w:rPr>
              <w:t xml:space="preserve">XXXXX / MERIDIANDRV01</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Block 2: Report Type</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Final</w:t>
            </w:r>
          </w:p>
        </w:tc>
      </w:tr>
      <w:tr>
        <w:tc>
          <w:tcPr>
            <w:tcW w:type="dxa" w:w="360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b/>
                <w:bCs/>
                <w:sz w:val="20"/>
                <w:szCs w:val="20"/>
              </w:rPr>
              <w:t xml:space="preserve">Block 4: Business Sector</w:t>
            </w:r>
          </w:p>
        </w:tc>
        <w:tc>
          <w:tcPr>
            <w:tcW w:type="dxa" w:w="576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20"/>
                <w:szCs w:val="20"/>
              </w:rPr>
              <w:t xml:space="preserve">Systems / IT (Prototype Development)</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Block 6: Performance Location</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Meridian Drive Systems LLC, 4820 Industrial Pkwy, Columbus IN 47201</w:t>
            </w:r>
          </w:p>
        </w:tc>
      </w:tr>
      <w:tr>
        <w:tc>
          <w:tcPr>
            <w:tcW w:type="dxa" w:w="360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b/>
                <w:bCs/>
                <w:sz w:val="20"/>
                <w:szCs w:val="20"/>
              </w:rPr>
              <w:t xml:space="preserve">Block 7: MAC Contract</w:t>
            </w:r>
          </w:p>
        </w:tc>
        <w:tc>
          <w:tcPr>
            <w:tcW w:type="dxa" w:w="576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20"/>
                <w:szCs w:val="20"/>
              </w:rPr>
              <w:t xml:space="preserve">N0016426RMP01 — Mobility MAC Follow-On</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Delivery Order</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N00164-25-F-0003 (DO-0003)</w:t>
            </w:r>
          </w:p>
        </w:tc>
      </w:tr>
      <w:tr>
        <w:tc>
          <w:tcPr>
            <w:tcW w:type="dxa" w:w="360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b/>
                <w:bCs/>
                <w:sz w:val="20"/>
                <w:szCs w:val="20"/>
              </w:rPr>
              <w:t xml:space="preserve">DO Title</w:t>
            </w:r>
          </w:p>
        </w:tc>
        <w:tc>
          <w:tcPr>
            <w:tcW w:type="dxa" w:w="576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20"/>
                <w:szCs w:val="20"/>
              </w:rPr>
              <w:t xml:space="preserve">JLTV Hybrid-Electric Drive (HED) Powertrain Prototype</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Block 9: Contracting Officer</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Ashley Bechtel, NSWC Crane (N00164)</w:t>
            </w:r>
          </w:p>
        </w:tc>
      </w:tr>
      <w:tr>
        <w:tc>
          <w:tcPr>
            <w:tcW w:type="dxa" w:w="360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b/>
                <w:bCs/>
                <w:sz w:val="20"/>
                <w:szCs w:val="20"/>
              </w:rPr>
              <w:t xml:space="preserve">Assessing Official</w:t>
            </w:r>
          </w:p>
        </w:tc>
        <w:tc>
          <w:tcPr>
            <w:tcW w:type="dxa" w:w="576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20"/>
                <w:szCs w:val="20"/>
              </w:rPr>
              <w:t xml:space="preserve">Nicole Jacobs, Government PM/COR, NSWC Crane MXPQ</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Block 11: Period of Performance</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01 October 2024 – 31 March 2026 (18 months)</w:t>
            </w:r>
          </w:p>
        </w:tc>
      </w:tr>
      <w:tr>
        <w:tc>
          <w:tcPr>
            <w:tcW w:type="dxa" w:w="360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b/>
                <w:bCs/>
                <w:sz w:val="20"/>
                <w:szCs w:val="20"/>
              </w:rPr>
              <w:t xml:space="preserve">Block 12: DO Award Value</w:t>
            </w:r>
          </w:p>
        </w:tc>
        <w:tc>
          <w:tcPr>
            <w:tcW w:type="dxa" w:w="576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20"/>
                <w:szCs w:val="20"/>
              </w:rPr>
              <w:t xml:space="preserve">$3,184,500.00 (FFP)</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Block 15: Subcontractors</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Advanced Torque Controls, Inc. (ATCI) — Motor Controller Assembly. Assessed under prime per CPARS policy.</w:t>
            </w:r>
          </w:p>
        </w:tc>
      </w:tr>
      <w:tr>
        <w:tc>
          <w:tcPr>
            <w:tcW w:type="dxa" w:w="360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b/>
                <w:bCs/>
                <w:sz w:val="20"/>
                <w:szCs w:val="20"/>
              </w:rPr>
              <w:t xml:space="preserve">Block 17: Contract Type / Technology</w:t>
            </w:r>
          </w:p>
        </w:tc>
        <w:tc>
          <w:tcPr>
            <w:tcW w:type="dxa" w:w="576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20"/>
                <w:szCs w:val="20"/>
              </w:rPr>
              <w:t xml:space="preserve">Technology Area 1 (Powertrain Performance Prototyping), FFP</w:t>
            </w:r>
          </w:p>
        </w:tc>
      </w:tr>
    </w:tbl>
    <w:p>
      <w:pPr>
        <w:spacing w:after="60" w:before="60"/>
      </w:pPr>
      <w:r>
        <w:t xml:space="preserve"/>
      </w:r>
    </w:p>
    <w:p>
      <w:pPr>
        <w:pStyle w:val="Heading1"/>
        <w:pBdr>
          <w:bottom w:val="single" w:color="1C3557" w:sz="3" w:space="1"/>
        </w:pBdr>
        <w:spacing w:after="120" w:before="280"/>
      </w:pPr>
      <w:r>
        <w:rPr>
          <w:rFonts w:ascii="Arial" w:cs="Arial" w:eastAsia="Arial" w:hAnsi="Arial"/>
          <w:b/>
          <w:bCs/>
          <w:color w:val="1C3557"/>
          <w:sz w:val="26"/>
          <w:szCs w:val="26"/>
        </w:rPr>
        <w:t xml:space="preserve">Block 17: Contract Effort Description</w:t>
      </w:r>
    </w:p>
    <w:p>
      <w:pPr>
        <w:spacing w:after="100" w:before="80"/>
      </w:pPr>
      <w:r>
        <w:rPr>
          <w:rFonts w:ascii="Arial" w:cs="Arial" w:eastAsia="Arial" w:hAnsi="Arial"/>
          <w:sz w:val="22"/>
          <w:szCs w:val="22"/>
        </w:rPr>
        <w:t xml:space="preserve">Meridian Drive Systems, LLC was tasked under Delivery Order N00164-25-F-0003 to design, develop, fabricate, integrate, and test a Hybrid-Electric Drive (HED) powertrain prototype for the Joint Light Tactical Vehicle (JLTV) platform. The contract required the contractor to provide improved fuel efficiency, silent watch capability, and auxiliary power output over the baseline JLTV powertrain, against defined Key Performance Parameters (KPPs) including a peak torque threshold of 650 lb-ft, a fuel efficiency improvement threshold of 18%, and silent watch duration of 4.0 hours. The effort proceeded through Preliminary Design Review (PDR), Critical Design Review (CDR), prototype fabrication and integration onto a Government-Furnished Equipment (GFE) JLTV, and formal acceptance testing. Key deliverables included the integrated prototype, Technical Data Package, and all CDRLs A001–A015 as specified in the DO.</w:t>
      </w:r>
    </w:p>
    <w:p>
      <w:pPr>
        <w:spacing w:after="60" w:before="60"/>
      </w:pPr>
      <w:r>
        <w:t xml:space="preserve"/>
      </w:r>
    </w:p>
    <w:p>
      <w:pPr>
        <w:pStyle w:val="Heading1"/>
        <w:pBdr>
          <w:bottom w:val="single" w:color="1C3557" w:sz="3" w:space="1"/>
        </w:pBdr>
        <w:spacing w:after="120" w:before="280"/>
      </w:pPr>
      <w:r>
        <w:rPr>
          <w:rFonts w:ascii="Arial" w:cs="Arial" w:eastAsia="Arial" w:hAnsi="Arial"/>
          <w:b/>
          <w:bCs/>
          <w:color w:val="1C3557"/>
          <w:sz w:val="26"/>
          <w:szCs w:val="26"/>
        </w:rPr>
        <w:t xml:space="preserve">Block 18 &amp; 20: Performance Ratings and Narrative Assessments</w:t>
      </w:r>
    </w:p>
    <w:p>
      <w:pPr>
        <w:spacing w:after="60" w:before="60"/>
      </w:pPr>
      <w:r>
        <w:t xml:space="preserve"/>
      </w:r>
    </w:p>
    <w:p>
      <w:pPr>
        <w:pStyle w:val="Heading2"/>
        <w:spacing w:after="80" w:before="180"/>
      </w:pPr>
      <w:r>
        <w:rPr>
          <w:rFonts w:ascii="Arial" w:cs="Arial" w:eastAsia="Arial" w:hAnsi="Arial"/>
          <w:b/>
          <w:bCs/>
          <w:color w:val="2B5F8C"/>
          <w:sz w:val="23"/>
          <w:szCs w:val="23"/>
        </w:rPr>
        <w:t xml:space="preserve">Rating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1C3557" w:sz="4"/>
              <w:left w:val="single" w:color="1C3557" w:sz="4"/>
              <w:bottom w:val="single" w:color="1C3557" w:sz="4"/>
              <w:right w:val="single" w:color="1C3557" w:sz="4"/>
            </w:tcBorders>
            <w:shd w:fill="1C3557" w:val="clear"/>
            <w:tcMar>
              <w:top w:type="dxa" w:w="80"/>
              <w:left w:type="dxa" w:w="120"/>
              <w:bottom w:type="dxa" w:w="80"/>
              <w:right w:type="dxa" w:w="120"/>
            </w:tcMar>
          </w:tcPr>
          <w:p>
            <w:r>
              <w:rPr>
                <w:rFonts w:ascii="Arial" w:cs="Arial" w:eastAsia="Arial" w:hAnsi="Arial"/>
                <w:b/>
                <w:bCs/>
                <w:color w:val="FFFFFF"/>
                <w:sz w:val="20"/>
                <w:szCs w:val="20"/>
              </w:rPr>
              <w:t xml:space="preserve">Assessment Area</w:t>
            </w:r>
          </w:p>
        </w:tc>
        <w:tc>
          <w:tcPr>
            <w:tcW w:type="dxa" w:w="2580"/>
            <w:tcBorders>
              <w:top w:val="single" w:color="1C3557" w:sz="4"/>
              <w:left w:val="single" w:color="1C3557" w:sz="4"/>
              <w:bottom w:val="single" w:color="1C3557" w:sz="4"/>
              <w:right w:val="single" w:color="1C3557" w:sz="4"/>
            </w:tcBorders>
            <w:shd w:fill="1C3557" w:val="clear"/>
            <w:tcMar>
              <w:top w:type="dxa" w:w="80"/>
              <w:left w:type="dxa" w:w="120"/>
              <w:bottom w:type="dxa" w:w="80"/>
              <w:right w:type="dxa" w:w="120"/>
            </w:tcMar>
          </w:tcPr>
          <w:p>
            <w:r>
              <w:rPr>
                <w:rFonts w:ascii="Arial" w:cs="Arial" w:eastAsia="Arial" w:hAnsi="Arial"/>
                <w:b/>
                <w:bCs/>
                <w:color w:val="FFFFFF"/>
                <w:sz w:val="20"/>
                <w:szCs w:val="20"/>
              </w:rPr>
              <w:t xml:space="preserve">Rating</w:t>
            </w:r>
          </w:p>
        </w:tc>
        <w:tc>
          <w:tcPr>
            <w:tcW w:type="dxa" w:w="2580"/>
            <w:tcBorders>
              <w:top w:val="single" w:color="1C3557" w:sz="4"/>
              <w:left w:val="single" w:color="1C3557" w:sz="4"/>
              <w:bottom w:val="single" w:color="1C3557" w:sz="4"/>
              <w:right w:val="single" w:color="1C3557" w:sz="4"/>
            </w:tcBorders>
            <w:shd w:fill="1C3557" w:val="clear"/>
            <w:tcMar>
              <w:top w:type="dxa" w:w="80"/>
              <w:left w:type="dxa" w:w="120"/>
              <w:bottom w:type="dxa" w:w="80"/>
              <w:right w:type="dxa" w:w="120"/>
            </w:tcMar>
          </w:tcPr>
          <w:p>
            <w:r>
              <w:rPr>
                <w:rFonts w:ascii="Arial" w:cs="Arial" w:eastAsia="Arial" w:hAnsi="Arial"/>
                <w:b/>
                <w:bCs/>
                <w:color w:val="FFFFFF"/>
                <w:sz w:val="20"/>
                <w:szCs w:val="20"/>
              </w:rPr>
              <w:t xml:space="preserve">Color</w:t>
            </w:r>
          </w:p>
        </w:tc>
      </w:tr>
      <w:tr>
        <w:tc>
          <w:tcPr>
            <w:tcW w:type="dxa" w:w="4200"/>
            <w:tcBorders>
              <w:top w:val="single" w:color="AAAAAA" w:sz="1"/>
              <w:left w:val="single" w:color="AAAAAA" w:sz="1"/>
              <w:bottom w:val="single" w:color="AAAAAA" w:sz="1"/>
              <w:right w:val="single" w:color="AAAAAA" w:sz="1"/>
            </w:tcBorders>
            <w:shd w:fill="F8FAFD" w:val="clear"/>
            <w:tcMar>
              <w:top w:type="dxa" w:w="80"/>
              <w:left w:type="dxa" w:w="120"/>
              <w:bottom w:type="dxa" w:w="80"/>
              <w:right w:type="dxa" w:w="120"/>
            </w:tcMar>
          </w:tcPr>
          <w:p>
            <w:r>
              <w:rPr>
                <w:rFonts w:ascii="Arial" w:cs="Arial" w:eastAsia="Arial" w:hAnsi="Arial"/>
                <w:sz w:val="20"/>
                <w:szCs w:val="20"/>
              </w:rPr>
              <w:t xml:space="preserve">Quality of Product or Service</w:t>
            </w:r>
          </w:p>
        </w:tc>
        <w:tc>
          <w:tcPr>
            <w:tcW w:type="dxa" w:w="258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tcPr>
          <w:p>
            <w:r>
              <w:rPr>
                <w:rFonts w:ascii="Arial" w:cs="Arial" w:eastAsia="Arial" w:hAnsi="Arial"/>
                <w:b/>
                <w:bCs/>
                <w:sz w:val="20"/>
                <w:szCs w:val="20"/>
              </w:rPr>
              <w:t xml:space="preserve">Satisfactory</w:t>
            </w:r>
          </w:p>
        </w:tc>
        <w:tc>
          <w:tcPr>
            <w:tcW w:type="dxa" w:w="2580"/>
            <w:tcBorders>
              <w:top w:val="single" w:color="AAAAAA" w:sz="1"/>
              <w:left w:val="single" w:color="AAAAAA" w:sz="1"/>
              <w:bottom w:val="single" w:color="AAAAAA" w:sz="1"/>
              <w:right w:val="single" w:color="AAAAAA" w:sz="1"/>
            </w:tcBorders>
            <w:shd w:fill="F8FAFD" w:val="clear"/>
            <w:tcMar>
              <w:top w:type="dxa" w:w="80"/>
              <w:left w:type="dxa" w:w="120"/>
              <w:bottom w:type="dxa" w:w="80"/>
              <w:right w:type="dxa" w:w="120"/>
            </w:tcMar>
          </w:tcPr>
          <w:p>
            <w:r>
              <w:rPr>
                <w:rFonts w:ascii="Arial" w:cs="Arial" w:eastAsia="Arial" w:hAnsi="Arial"/>
                <w:sz w:val="20"/>
                <w:szCs w:val="20"/>
              </w:rPr>
              <w:t xml:space="preserve">Green</w:t>
            </w:r>
          </w:p>
        </w:tc>
      </w:tr>
      <w:tr>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Schedule</w:t>
            </w:r>
          </w:p>
        </w:tc>
        <w:tc>
          <w:tcPr>
            <w:tcW w:type="dxa" w:w="258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sz w:val="20"/>
                <w:szCs w:val="20"/>
              </w:rPr>
              <w:t xml:space="preserve">Marginal</w:t>
            </w:r>
          </w:p>
        </w:tc>
        <w:tc>
          <w:tcPr>
            <w:tcW w:type="dxa" w:w="2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Yellow</w:t>
            </w:r>
          </w:p>
        </w:tc>
      </w:tr>
      <w:tr>
        <w:tc>
          <w:tcPr>
            <w:tcW w:type="dxa" w:w="4200"/>
            <w:tcBorders>
              <w:top w:val="single" w:color="AAAAAA" w:sz="1"/>
              <w:left w:val="single" w:color="AAAAAA" w:sz="1"/>
              <w:bottom w:val="single" w:color="AAAAAA" w:sz="1"/>
              <w:right w:val="single" w:color="AAAAAA" w:sz="1"/>
            </w:tcBorders>
            <w:shd w:fill="F8FAFD" w:val="clear"/>
            <w:tcMar>
              <w:top w:type="dxa" w:w="80"/>
              <w:left w:type="dxa" w:w="120"/>
              <w:bottom w:type="dxa" w:w="80"/>
              <w:right w:type="dxa" w:w="120"/>
            </w:tcMar>
          </w:tcPr>
          <w:p>
            <w:r>
              <w:rPr>
                <w:rFonts w:ascii="Arial" w:cs="Arial" w:eastAsia="Arial" w:hAnsi="Arial"/>
                <w:sz w:val="20"/>
                <w:szCs w:val="20"/>
              </w:rPr>
              <w:t xml:space="preserve">Cost Control (FFP — N/A)</w:t>
            </w:r>
          </w:p>
        </w:tc>
        <w:tc>
          <w:tcPr>
            <w:tcW w:type="dxa" w:w="2580"/>
            <w:tcBorders>
              <w:top w:val="single" w:color="AAAAAA" w:sz="1"/>
              <w:left w:val="single" w:color="AAAAAA" w:sz="1"/>
              <w:bottom w:val="single" w:color="AAAAAA" w:sz="1"/>
              <w:right w:val="single" w:color="AAAAAA" w:sz="1"/>
            </w:tcBorders>
            <w:shd w:fill="EEEEEE" w:val="clear"/>
            <w:tcMar>
              <w:top w:type="dxa" w:w="80"/>
              <w:left w:type="dxa" w:w="120"/>
              <w:bottom w:type="dxa" w:w="80"/>
              <w:right w:type="dxa" w:w="120"/>
            </w:tcMar>
          </w:tcPr>
          <w:p>
            <w:r>
              <w:rPr>
                <w:rFonts w:ascii="Arial" w:cs="Arial" w:eastAsia="Arial" w:hAnsi="Arial"/>
                <w:b/>
                <w:bCs/>
                <w:sz w:val="20"/>
                <w:szCs w:val="20"/>
              </w:rPr>
              <w:t xml:space="preserve">N/A</w:t>
            </w:r>
          </w:p>
        </w:tc>
        <w:tc>
          <w:tcPr>
            <w:tcW w:type="dxa" w:w="2580"/>
            <w:tcBorders>
              <w:top w:val="single" w:color="AAAAAA" w:sz="1"/>
              <w:left w:val="single" w:color="AAAAAA" w:sz="1"/>
              <w:bottom w:val="single" w:color="AAAAAA" w:sz="1"/>
              <w:right w:val="single" w:color="AAAAAA" w:sz="1"/>
            </w:tcBorders>
            <w:shd w:fill="F8FAFD" w:val="clear"/>
            <w:tcMar>
              <w:top w:type="dxa" w:w="80"/>
              <w:left w:type="dxa" w:w="120"/>
              <w:bottom w:type="dxa" w:w="80"/>
              <w:right w:type="dxa" w:w="120"/>
            </w:tcMar>
          </w:tcPr>
          <w:p>
            <w:r>
              <w:rPr>
                <w:rFonts w:ascii="Arial" w:cs="Arial" w:eastAsia="Arial" w:hAnsi="Arial"/>
                <w:sz w:val="20"/>
                <w:szCs w:val="20"/>
              </w:rPr>
              <w:t xml:space="preserve">N/A (FFP)</w:t>
            </w:r>
          </w:p>
        </w:tc>
      </w:tr>
      <w:tr>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Business Relations</w:t>
            </w:r>
          </w:p>
        </w:tc>
        <w:tc>
          <w:tcPr>
            <w:tcW w:type="dxa" w:w="258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sz w:val="20"/>
                <w:szCs w:val="20"/>
              </w:rPr>
              <w:t xml:space="preserve">Marginal</w:t>
            </w:r>
          </w:p>
        </w:tc>
        <w:tc>
          <w:tcPr>
            <w:tcW w:type="dxa" w:w="2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Yellow</w:t>
            </w:r>
          </w:p>
        </w:tc>
      </w:tr>
      <w:tr>
        <w:tc>
          <w:tcPr>
            <w:tcW w:type="dxa" w:w="4200"/>
            <w:tcBorders>
              <w:top w:val="single" w:color="AAAAAA" w:sz="1"/>
              <w:left w:val="single" w:color="AAAAAA" w:sz="1"/>
              <w:bottom w:val="single" w:color="AAAAAA" w:sz="1"/>
              <w:right w:val="single" w:color="AAAAAA" w:sz="1"/>
            </w:tcBorders>
            <w:shd w:fill="F8FAFD" w:val="clear"/>
            <w:tcMar>
              <w:top w:type="dxa" w:w="80"/>
              <w:left w:type="dxa" w:w="120"/>
              <w:bottom w:type="dxa" w:w="80"/>
              <w:right w:type="dxa" w:w="120"/>
            </w:tcMar>
          </w:tcPr>
          <w:p>
            <w:r>
              <w:rPr>
                <w:rFonts w:ascii="Arial" w:cs="Arial" w:eastAsia="Arial" w:hAnsi="Arial"/>
                <w:sz w:val="20"/>
                <w:szCs w:val="20"/>
              </w:rPr>
              <w:t xml:space="preserve">Management of Key Personnel</w:t>
            </w:r>
          </w:p>
        </w:tc>
        <w:tc>
          <w:tcPr>
            <w:tcW w:type="dxa" w:w="258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sz w:val="20"/>
                <w:szCs w:val="20"/>
              </w:rPr>
              <w:t xml:space="preserve">Marginal</w:t>
            </w:r>
          </w:p>
        </w:tc>
        <w:tc>
          <w:tcPr>
            <w:tcW w:type="dxa" w:w="2580"/>
            <w:tcBorders>
              <w:top w:val="single" w:color="AAAAAA" w:sz="1"/>
              <w:left w:val="single" w:color="AAAAAA" w:sz="1"/>
              <w:bottom w:val="single" w:color="AAAAAA" w:sz="1"/>
              <w:right w:val="single" w:color="AAAAAA" w:sz="1"/>
            </w:tcBorders>
            <w:shd w:fill="F8FAFD" w:val="clear"/>
            <w:tcMar>
              <w:top w:type="dxa" w:w="80"/>
              <w:left w:type="dxa" w:w="120"/>
              <w:bottom w:type="dxa" w:w="80"/>
              <w:right w:type="dxa" w:w="120"/>
            </w:tcMar>
          </w:tcPr>
          <w:p>
            <w:r>
              <w:rPr>
                <w:rFonts w:ascii="Arial" w:cs="Arial" w:eastAsia="Arial" w:hAnsi="Arial"/>
                <w:sz w:val="20"/>
                <w:szCs w:val="20"/>
              </w:rPr>
              <w:t xml:space="preserve">Yellow</w:t>
            </w:r>
          </w:p>
        </w:tc>
      </w:tr>
      <w:tr>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Subcontract Management</w:t>
            </w:r>
          </w:p>
        </w:tc>
        <w:tc>
          <w:tcPr>
            <w:tcW w:type="dxa" w:w="258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tcPr>
          <w:p>
            <w:r>
              <w:rPr>
                <w:rFonts w:ascii="Arial" w:cs="Arial" w:eastAsia="Arial" w:hAnsi="Arial"/>
                <w:b/>
                <w:bCs/>
                <w:sz w:val="20"/>
                <w:szCs w:val="20"/>
              </w:rPr>
              <w:t xml:space="preserve">Satisfactory</w:t>
            </w:r>
          </w:p>
        </w:tc>
        <w:tc>
          <w:tcPr>
            <w:tcW w:type="dxa" w:w="2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Green</w:t>
            </w:r>
          </w:p>
        </w:tc>
      </w:tr>
      <w:tr>
        <w:tc>
          <w:tcPr>
            <w:tcW w:type="dxa" w:w="4200"/>
            <w:tcBorders>
              <w:top w:val="single" w:color="AAAAAA" w:sz="1"/>
              <w:left w:val="single" w:color="AAAAAA" w:sz="1"/>
              <w:bottom w:val="single" w:color="AAAAAA" w:sz="1"/>
              <w:right w:val="single" w:color="AAAAAA" w:sz="1"/>
            </w:tcBorders>
            <w:shd w:fill="F8FAFD" w:val="clear"/>
            <w:tcMar>
              <w:top w:type="dxa" w:w="80"/>
              <w:left w:type="dxa" w:w="120"/>
              <w:bottom w:type="dxa" w:w="80"/>
              <w:right w:type="dxa" w:w="120"/>
            </w:tcMar>
          </w:tcPr>
          <w:p>
            <w:r>
              <w:rPr>
                <w:rFonts w:ascii="Arial" w:cs="Arial" w:eastAsia="Arial" w:hAnsi="Arial"/>
                <w:sz w:val="20"/>
                <w:szCs w:val="20"/>
              </w:rPr>
              <w:t xml:space="preserve">Overall Recommendation</w:t>
            </w:r>
          </w:p>
        </w:tc>
        <w:tc>
          <w:tcPr>
            <w:tcW w:type="dxa" w:w="5160"/>
            <w:tcBorders>
              <w:top w:val="single" w:color="AAAAAA" w:sz="1"/>
              <w:left w:val="single" w:color="AAAAAA" w:sz="1"/>
              <w:bottom w:val="single" w:color="AAAAAA" w:sz="1"/>
              <w:right w:val="single" w:color="AAAAAA" w:sz="1"/>
            </w:tcBorders>
            <w:shd w:fill="FFF3E0" w:val="clear"/>
            <w:tcMar>
              <w:top w:type="dxa" w:w="80"/>
              <w:left w:type="dxa" w:w="120"/>
              <w:bottom w:type="dxa" w:w="80"/>
              <w:right w:type="dxa" w:w="120"/>
            </w:tcMar>
          </w:tcPr>
          <w:p>
            <w:r>
              <w:rPr>
                <w:rFonts w:ascii="Arial" w:cs="Arial" w:eastAsia="Arial" w:hAnsi="Arial"/>
                <w:b/>
                <w:bCs/>
                <w:sz w:val="20"/>
                <w:szCs w:val="20"/>
              </w:rPr>
              <w:t xml:space="preserve">Probably Would Not Award Again</w:t>
            </w:r>
          </w:p>
        </w:tc>
      </w:tr>
    </w:tbl>
    <w:p>
      <w:pPr>
        <w:spacing w:after="60" w:before="60"/>
      </w:pPr>
      <w:r>
        <w:t xml:space="preserve"/>
      </w:r>
    </w:p>
    <w:p>
      <w:pPr>
        <w:pStyle w:val="Heading2"/>
        <w:spacing w:after="80" w:before="180"/>
      </w:pPr>
      <w:r>
        <w:rPr>
          <w:rFonts w:ascii="Arial" w:cs="Arial" w:eastAsia="Arial" w:hAnsi="Arial"/>
          <w:b/>
          <w:bCs/>
          <w:color w:val="2B5F8C"/>
          <w:sz w:val="23"/>
          <w:szCs w:val="23"/>
        </w:rPr>
        <w:t xml:space="preserve">Quality of Product or Service — Satisfactory (Green)</w:t>
      </w:r>
    </w:p>
    <w:p>
      <w:pPr>
        <w:spacing w:after="100" w:before="80"/>
      </w:pPr>
      <w:r>
        <w:rPr>
          <w:rFonts w:ascii="Arial" w:cs="Arial" w:eastAsia="Arial" w:hAnsi="Arial"/>
          <w:sz w:val="22"/>
          <w:szCs w:val="22"/>
        </w:rPr>
        <w:t xml:space="preserve">The prototype delivered under DO-0003 meets all contractual threshold KPPs as accepted, which represents the minimum criterion for a Satisfactory rating. Peak torque output of 653 lb-ft was achieved following a re-test with revised motor controller calibration, meeting the 650 lb-ft threshold with a margin of 0.5%. Fuel efficiency improvement of 21.4% exceeds the 18% threshold. Silent watch duration of 4.2 hours meets the 4.0 hour threshold. Auxiliary power output of 11.2 kW meets the 10 kW threshold. No KPP objective values were met; all final measured values fell between the threshold and objective.</w:t>
      </w:r>
    </w:p>
    <w:p>
      <w:pPr>
        <w:spacing w:after="100" w:before="80"/>
      </w:pPr>
      <w:r>
        <w:rPr>
          <w:rFonts w:ascii="Arial" w:cs="Arial" w:eastAsia="Arial" w:hAnsi="Arial"/>
          <w:sz w:val="22"/>
          <w:szCs w:val="22"/>
        </w:rPr>
        <w:t xml:space="preserve">Quality performance was mixed throughout the period. The PDR package submitted on 31 January 2025 required 22 Government action items, an unusually high number reflecting incomplete thermal management analysis and insufficient torque margin substantiation. These same technical areas required additional action at CDR, where 14 action items were issued, with two items — thermal rejection compliance and torque margin at elevated temperature — accepted provisionally and carried into acceptance testing. The thermal test result at maximum ambient conditions exceeded the specified limit, requiring Government disposition and partial acceptance. The first torque test failed to meet the threshold KPP. Re-test following motor controller recalibration achieved a passing result.</w:t>
      </w:r>
    </w:p>
    <w:p>
      <w:pPr>
        <w:spacing w:after="100" w:before="80"/>
      </w:pPr>
      <w:r>
        <w:rPr>
          <w:rFonts w:ascii="Arial" w:cs="Arial" w:eastAsia="Arial" w:hAnsi="Arial"/>
          <w:sz w:val="22"/>
          <w:szCs w:val="22"/>
        </w:rPr>
        <w:t xml:space="preserve">The ground fault condition identified during initial powered checkout in December 2025, while ultimately resolved, reflects a gap in pre-integration characterization of the GFE vehicle's electrical interface. The CDRL A012 (Test/Inspection Report) was submitted 14 days after the period of performance end date.</w:t>
      </w:r>
    </w:p>
    <w:p>
      <w:pPr>
        <w:spacing w:after="100" w:before="80"/>
      </w:pPr>
      <w:r>
        <w:rPr>
          <w:rFonts w:ascii="Arial" w:cs="Arial" w:eastAsia="Arial" w:hAnsi="Arial"/>
          <w:sz w:val="22"/>
          <w:szCs w:val="22"/>
        </w:rPr>
        <w:t xml:space="preserve">The Satisfactory rating reflects a prototype that ultimately meets contractual requirements, with the acknowledgment that threshold-only performance and the quality events described above are not consistent with above-Satisfactory performance.</w:t>
      </w:r>
    </w:p>
    <w:p>
      <w:pPr>
        <w:spacing w:after="60" w:before="60"/>
      </w:pPr>
      <w:r>
        <w:t xml:space="preserve"/>
      </w:r>
    </w:p>
    <w:p>
      <w:pPr>
        <w:pStyle w:val="Heading2"/>
        <w:spacing w:after="80" w:before="180"/>
      </w:pPr>
      <w:r>
        <w:rPr>
          <w:rFonts w:ascii="Arial" w:cs="Arial" w:eastAsia="Arial" w:hAnsi="Arial"/>
          <w:b/>
          <w:bCs/>
          <w:color w:val="2B5F8C"/>
          <w:sz w:val="23"/>
          <w:szCs w:val="23"/>
        </w:rPr>
        <w:t xml:space="preserve">Schedule — Marginal (Yellow)</w:t>
      </w:r>
    </w:p>
    <w:p>
      <w:pPr>
        <w:spacing w:after="100" w:before="80"/>
      </w:pPr>
      <w:r>
        <w:rPr>
          <w:rFonts w:ascii="Arial" w:cs="Arial" w:eastAsia="Arial" w:hAnsi="Arial"/>
          <w:sz w:val="22"/>
          <w:szCs w:val="22"/>
        </w:rPr>
        <w:t xml:space="preserve">Schedule performance under DO-0003 was Marginal. The prototype was formally accepted on 28 March 2026, 148 calendar days after the original contractual delivery date of 01 November 2025. This represents a schedule overrun of approximately 43% of the original 12.5-month technical execution period (contract award to planned delivery).</w:t>
      </w:r>
    </w:p>
    <w:p>
      <w:pPr>
        <w:spacing w:after="100" w:before="80"/>
      </w:pPr>
      <w:r>
        <w:rPr>
          <w:rFonts w:ascii="Arial" w:cs="Arial" w:eastAsia="Arial" w:hAnsi="Arial"/>
          <w:sz w:val="22"/>
          <w:szCs w:val="22"/>
        </w:rPr>
        <w:t xml:space="preserve">Key schedule events contributing to the overall delay are documented across the six quarterly progress reports. The PDR package was submitted 47 days late, with no advance notification to the Government of the impending delay. The PDR itself was conducted 40 days after the planned date. The CDR was rescheduled twice by the contractor, ultimately occurring 63 days after the original planned date. The contractor's formal response to the Government's 22 PDR action items was submitted 24 days after the committed response date.</w:t>
      </w:r>
    </w:p>
    <w:p>
      <w:pPr>
        <w:spacing w:after="100" w:before="80"/>
      </w:pPr>
      <w:r>
        <w:rPr>
          <w:rFonts w:ascii="Arial" w:cs="Arial" w:eastAsia="Arial" w:hAnsi="Arial"/>
          <w:sz w:val="22"/>
          <w:szCs w:val="22"/>
        </w:rPr>
        <w:t xml:space="preserve">A revised Integrated Master Schedule was not provided to the Government COR until 18 August 2025, nearly 10 months into an 18-month program, despite repeated requests. Even after the revised IMS was provided, it was not updated to reflect program status after the Q4 reporting period; the Government was not provided with a current schedule baseline during the critical integration and test phases.</w:t>
      </w:r>
    </w:p>
    <w:p>
      <w:pPr>
        <w:spacing w:after="100" w:before="80"/>
      </w:pPr>
      <w:r>
        <w:rPr>
          <w:rFonts w:ascii="Arial" w:cs="Arial" w:eastAsia="Arial" w:hAnsi="Arial"/>
          <w:sz w:val="22"/>
          <w:szCs w:val="22"/>
        </w:rPr>
        <w:t xml:space="preserve">The Government notes that the late GFE JLTV delivery (approximately 75 days beyond the Government-stated date) was a contributing factor outside the contractor's control and has been considered in this assessment. Even accounting for the GFE delay, the contractor-caused delays (PDR, CDR, staffing gap, ground fault) represent a majority of the overall schedule impact.</w:t>
      </w:r>
    </w:p>
    <w:p>
      <w:pPr>
        <w:spacing w:after="100" w:before="80"/>
      </w:pPr>
      <w:r>
        <w:rPr>
          <w:rFonts w:ascii="Arial" w:cs="Arial" w:eastAsia="Arial" w:hAnsi="Arial"/>
          <w:sz w:val="22"/>
          <w:szCs w:val="22"/>
        </w:rPr>
        <w:t xml:space="preserve">A Corrective Action Request was issued by the Government COR on 27 June 2025 in response to the PDR and CDR schedule performance. The contractor's formal CAR response, submitted on 25 July 2025, included a recovery plan that the Government assessed as inadequate on first submission, requiring revision. The revised recovery plan was accepted on 14 August 2025 but the schedule improvements identified therein were not fully realized in subsequent execution.</w:t>
      </w:r>
    </w:p>
    <w:p>
      <w:pPr>
        <w:spacing w:after="60" w:before="60"/>
      </w:pPr>
      <w:r>
        <w:t xml:space="preserve"/>
      </w:r>
    </w:p>
    <w:p>
      <w:pPr>
        <w:pStyle w:val="Heading2"/>
        <w:spacing w:after="80" w:before="180"/>
      </w:pPr>
      <w:r>
        <w:rPr>
          <w:rFonts w:ascii="Arial" w:cs="Arial" w:eastAsia="Arial" w:hAnsi="Arial"/>
          <w:b/>
          <w:bCs/>
          <w:color w:val="2B5F8C"/>
          <w:sz w:val="23"/>
          <w:szCs w:val="23"/>
        </w:rPr>
        <w:t xml:space="preserve">Business Relations — Marginal (Yellow)</w:t>
      </w:r>
    </w:p>
    <w:p>
      <w:pPr>
        <w:spacing w:after="100" w:before="80"/>
      </w:pPr>
      <w:r>
        <w:rPr>
          <w:rFonts w:ascii="Arial" w:cs="Arial" w:eastAsia="Arial" w:hAnsi="Arial"/>
          <w:sz w:val="22"/>
          <w:szCs w:val="22"/>
        </w:rPr>
        <w:t xml:space="preserve">Business relations performance was Marginal throughout the program, reflecting a pattern of delayed and incomplete communications that materially affected the Government's ability to provide timely program oversight and support.</w:t>
      </w:r>
    </w:p>
    <w:p>
      <w:pPr>
        <w:spacing w:after="100" w:before="80"/>
      </w:pPr>
      <w:r>
        <w:rPr>
          <w:rFonts w:ascii="Arial" w:cs="Arial" w:eastAsia="Arial" w:hAnsi="Arial"/>
          <w:sz w:val="22"/>
          <w:szCs w:val="22"/>
        </w:rPr>
        <w:t xml:space="preserve">Specific documented instances include: (1) PDR meeting minutes were not distributed until 23 days after the PDR, significantly exceeding the 5-day CDRL requirement; (2) The Technical Interchange Meeting proposed by the contractor for May 2025 was rescheduled twice and ultimately never conducted, with no explanation provided to the Government; (3) Meridian's revised IMS was provided on 18 August 2025 but the Government received no acknowledgment from the contractor that it had been received and reviewed until the Q4 progress report submission; (4) Following submission of the CDR action item package on 21 November 2025, the contractor sent a follow-up requesting priority Government review on 09 December 2025 and again on 22 December 2025, while the quarterly program review proposed by the Government for November 2025 was never scheduled because Meridian did not respond to Government scheduling inquiries.</w:t>
      </w:r>
    </w:p>
    <w:p>
      <w:pPr>
        <w:spacing w:after="100" w:before="80"/>
      </w:pPr>
      <w:r>
        <w:rPr>
          <w:rFonts w:ascii="Arial" w:cs="Arial" w:eastAsia="Arial" w:hAnsi="Arial"/>
          <w:sz w:val="22"/>
          <w:szCs w:val="22"/>
        </w:rPr>
        <w:t xml:space="preserve">The Government also notes a pattern in progress report submissions: Q3, Q4, and Q6 reports were submitted late (22 July, 20 October, and 15 April respectively, each more than 2 weeks after the end of the reporting period), and Q5 was submitted 16 days into the following quarter. CDRL A003 (Monthly Risk Reports) was inconsistently submitted throughout the program; the Government received risk updates for 9 of the 18 performance months.</w:t>
      </w:r>
    </w:p>
    <w:p>
      <w:pPr>
        <w:spacing w:after="100" w:before="80"/>
      </w:pPr>
      <w:r>
        <w:rPr>
          <w:rFonts w:ascii="Arial" w:cs="Arial" w:eastAsia="Arial" w:hAnsi="Arial"/>
          <w:sz w:val="22"/>
          <w:szCs w:val="22"/>
        </w:rPr>
        <w:t xml:space="preserve">Meridian's engagement during acceptance testing was professional and cooperative, and the contractor's technical team demonstrated responsiveness during the re-test period. These positive interactions are noted. However, the pattern of communication deficiencies described above is not consistent with Satisfactory performance in this area.</w:t>
      </w:r>
    </w:p>
    <w:p>
      <w:pPr>
        <w:spacing w:after="60" w:before="60"/>
      </w:pPr>
      <w:r>
        <w:t xml:space="preserve"/>
      </w:r>
    </w:p>
    <w:p>
      <w:pPr>
        <w:pStyle w:val="Heading2"/>
        <w:spacing w:after="80" w:before="180"/>
      </w:pPr>
      <w:r>
        <w:rPr>
          <w:rFonts w:ascii="Arial" w:cs="Arial" w:eastAsia="Arial" w:hAnsi="Arial"/>
          <w:b/>
          <w:bCs/>
          <w:color w:val="2B5F8C"/>
          <w:sz w:val="23"/>
          <w:szCs w:val="23"/>
        </w:rPr>
        <w:t xml:space="preserve">Management of Key Personnel — Marginal (Yellow)</w:t>
      </w:r>
    </w:p>
    <w:p>
      <w:pPr>
        <w:spacing w:after="100" w:before="80"/>
      </w:pPr>
      <w:r>
        <w:rPr>
          <w:rFonts w:ascii="Arial" w:cs="Arial" w:eastAsia="Arial" w:hAnsi="Arial"/>
          <w:sz w:val="22"/>
          <w:szCs w:val="22"/>
        </w:rPr>
        <w:t xml:space="preserve">Key personnel management was Marginal. Three significant personnel events affected program execution.</w:t>
      </w:r>
    </w:p>
    <w:p>
      <w:pPr>
        <w:spacing w:after="100" w:before="80"/>
      </w:pPr>
      <w:r>
        <w:rPr>
          <w:rFonts w:ascii="Arial" w:cs="Arial" w:eastAsia="Arial" w:hAnsi="Arial"/>
          <w:sz w:val="22"/>
          <w:szCs w:val="22"/>
        </w:rPr>
        <w:t xml:space="preserve">First, the Motor Controls Engineer position, identified in the proposal as a critical technical resource, was not filled at contract start. The position remained vacant for the first four months of performance (October 2024 – February 2025), a period that included PDR preparation. The Government assesses that the vacancy contributed to the inadequate thermal management and torque margin analysis that generated 22 PDR action items.</w:t>
      </w:r>
    </w:p>
    <w:p>
      <w:pPr>
        <w:spacing w:after="100" w:before="80"/>
      </w:pPr>
      <w:r>
        <w:rPr>
          <w:rFonts w:ascii="Arial" w:cs="Arial" w:eastAsia="Arial" w:hAnsi="Arial"/>
          <w:sz w:val="22"/>
          <w:szCs w:val="22"/>
        </w:rPr>
        <w:t xml:space="preserve">Second, the Mechanical Design Lead (Marcus Hendley) departed Meridian Drive Systems effective 13 June 2025, during CDR preparation. This position was not filled until 10 November 2025, a gap of approximately 21 weeks. Derek Wahl (PM) absorbed the mechanical lead responsibilities in addition to his own duties during this period. The Government observed that the CDR CDR package submitted on 02 June 2025 contained a less complete mechanical integration analysis than would be expected from a fully staffed team.</w:t>
      </w:r>
    </w:p>
    <w:p>
      <w:pPr>
        <w:spacing w:after="100" w:before="80"/>
      </w:pPr>
      <w:r>
        <w:rPr>
          <w:rFonts w:ascii="Arial" w:cs="Arial" w:eastAsia="Arial" w:hAnsi="Arial"/>
          <w:sz w:val="22"/>
          <w:szCs w:val="22"/>
        </w:rPr>
        <w:t xml:space="preserve">Third, while Derek Wahl performed consistently and professionally throughout the program, the dual PM/lead engineer role he carried for significant portions of the PoP created a single point of failure for program management and technical leadership.</w:t>
      </w:r>
    </w:p>
    <w:p>
      <w:pPr>
        <w:spacing w:after="100" w:before="80"/>
      </w:pPr>
      <w:r>
        <w:rPr>
          <w:rFonts w:ascii="Arial" w:cs="Arial" w:eastAsia="Arial" w:hAnsi="Arial"/>
          <w:sz w:val="22"/>
          <w:szCs w:val="22"/>
        </w:rPr>
        <w:t xml:space="preserve">The Government notes that the replacement hire (Kevin Ostrowski) was effective when onboarded in November 2025, performing well during vehicle integration and closeout. This improvement is acknowledged but does not offset the impact of the 21-week gap.</w:t>
      </w:r>
    </w:p>
    <w:p>
      <w:pPr>
        <w:spacing w:after="60" w:before="60"/>
      </w:pPr>
      <w:r>
        <w:t xml:space="preserve"/>
      </w:r>
    </w:p>
    <w:p>
      <w:pPr>
        <w:pStyle w:val="Heading2"/>
        <w:spacing w:after="80" w:before="180"/>
      </w:pPr>
      <w:r>
        <w:rPr>
          <w:rFonts w:ascii="Arial" w:cs="Arial" w:eastAsia="Arial" w:hAnsi="Arial"/>
          <w:b/>
          <w:bCs/>
          <w:color w:val="2B5F8C"/>
          <w:sz w:val="23"/>
          <w:szCs w:val="23"/>
        </w:rPr>
        <w:t xml:space="preserve">Subcontract Management — Satisfactory (Green)</w:t>
      </w:r>
    </w:p>
    <w:p>
      <w:pPr>
        <w:spacing w:after="100" w:before="80"/>
      </w:pPr>
      <w:r>
        <w:rPr>
          <w:rFonts w:ascii="Arial" w:cs="Arial" w:eastAsia="Arial" w:hAnsi="Arial"/>
          <w:sz w:val="22"/>
          <w:szCs w:val="22"/>
        </w:rPr>
        <w:t xml:space="preserve">Subcontract management with Advanced Torque Controls, Inc. (ATCI) was satisfactory. While the ATCI subcontract was executed approximately 11 weeks late (February 2025 vs. November 2024 planned), once in place the subcontract was managed effectively. ATCI delivered the motor controller hardware on schedule relative to the purchase order issuance date. ATCI engineers provided effective on-site support during motor controller installation in December 2025 and during the recalibration effort in March 2026. No subcontractor-caused quality or safety issues were identified.</w:t>
      </w:r>
    </w:p>
    <w:p>
      <w:pPr>
        <w:spacing w:after="60" w:before="60"/>
      </w:pPr>
      <w:r>
        <w:t xml:space="preserve"/>
      </w:r>
    </w:p>
    <w:p>
      <w:pPr>
        <w:pStyle w:val="Heading1"/>
        <w:pBdr>
          <w:bottom w:val="single" w:color="1C3557" w:sz="3" w:space="1"/>
        </w:pBdr>
        <w:spacing w:after="120" w:before="280"/>
      </w:pPr>
      <w:r>
        <w:rPr>
          <w:rFonts w:ascii="Arial" w:cs="Arial" w:eastAsia="Arial" w:hAnsi="Arial"/>
          <w:b/>
          <w:bCs/>
          <w:color w:val="1C3557"/>
          <w:sz w:val="26"/>
          <w:szCs w:val="26"/>
        </w:rPr>
        <w:t xml:space="preserve">Overall Recommendation</w:t>
      </w:r>
    </w:p>
    <w:p>
      <w:pPr>
        <w:spacing w:after="100" w:before="80"/>
      </w:pPr>
      <w:r>
        <w:rPr>
          <w:rFonts w:ascii="Arial" w:cs="Arial" w:eastAsia="Arial" w:hAnsi="Arial"/>
          <w:sz w:val="22"/>
          <w:szCs w:val="22"/>
        </w:rPr>
        <w:t xml:space="preserve">The Government would probably not award a follow-on contract to Meridian Drive Systems, LLC for efforts of this type and complexity. While the prototype ultimately meets contractual threshold KPPs and the contractor's technical team demonstrated competence in resolving the ground fault and achieving the re-test torque result, the pattern of schedule delays, communication deficiencies, and personnel management gaps documented above represents a level of risk that would be difficult to accept on a future program without demonstrated correction.</w:t>
      </w:r>
    </w:p>
    <w:p>
      <w:pPr>
        <w:spacing w:after="100" w:before="80"/>
      </w:pPr>
      <w:r>
        <w:rPr>
          <w:rFonts w:ascii="Arial" w:cs="Arial" w:eastAsia="Arial" w:hAnsi="Arial"/>
          <w:sz w:val="22"/>
          <w:szCs w:val="22"/>
        </w:rPr>
        <w:t xml:space="preserve">The Government specifically notes that the combination of a 148-day prototype delivery delay, a pattern of late or missing CDRLs, a 21-week mechanical lead vacancy, and an unanswered CAR recovery plan would constitute Marginal or Unsatisfactory indicators under multiple assessment areas had the final prototype not been accepted. The threshold-only KPP performance further limits the basis for a positive recommendation.</w:t>
      </w:r>
    </w:p>
    <w:p>
      <w:pPr>
        <w:spacing w:after="100" w:before="80"/>
      </w:pPr>
      <w:r>
        <w:rPr>
          <w:rFonts w:ascii="Arial" w:cs="Arial" w:eastAsia="Arial" w:hAnsi="Arial"/>
          <w:sz w:val="22"/>
          <w:szCs w:val="22"/>
        </w:rPr>
        <w:t xml:space="preserve">Should Meridian Drive Systems propose on future Mobility MAC DOs, the Government recommends that the evaluation team specifically assess: (1) staffing plan realism and contingency provisions, (2) proposed schedule margin relative to historical performance on this contract, and (3) proposed communication and reporting procedures with specific reference to the deficiencies documented in this CPAR.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C3557"/>
      <w:sz w:val="26"/>
      <w:szCs w:val="26"/>
    </w:rPr>
  </w:style>
  <w:style w:type="paragraph" w:styleId="Heading2">
    <w:name w:val="Heading 2"/>
    <w:basedOn w:val="Normal"/>
    <w:next w:val="Normal"/>
    <w:qFormat/>
    <w:pPr>
      <w:spacing w:after="80" w:before="180"/>
      <w:outlineLvl w:val="1"/>
    </w:pPr>
    <w:rPr>
      <w:rFonts w:ascii="Arial" w:cs="Arial" w:eastAsia="Arial" w:hAnsi="Arial"/>
      <w:b/>
      <w:bCs/>
      <w:color w:val="2B5F8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2026-04-26T18:02:46.986Z</dcterms:created>
  <dcterms:modified xsi:type="dcterms:W3CDTF">2026-04-26T18:02:46.987Z</dcterms:modified>
</cp:coreProperties>
</file>

<file path=docProps/custom.xml><?xml version="1.0" encoding="utf-8"?>
<Properties xmlns="http://schemas.openxmlformats.org/officeDocument/2006/custom-properties" xmlns:vt="http://schemas.openxmlformats.org/officeDocument/2006/docPropsVTypes"/>
</file>