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C3557"/>
          <w:sz w:val="30"/>
          <w:szCs w:val="30"/>
        </w:rPr>
        <w:t xml:space="preserve">GOVERNMENT PERFORMANCE NARRATIVE REPORT (PNR)</w:t>
      </w:r>
    </w:p>
    <w:p>
      <w:pPr>
        <w:spacing w:after="60" w:before="0"/>
        <w:jc w:val="center"/>
      </w:pPr>
      <w:r>
        <w:rPr>
          <w:rFonts w:ascii="Arial" w:cs="Arial" w:eastAsia="Arial" w:hAnsi="Arial"/>
          <w:color w:val="2B5F8C"/>
          <w:sz w:val="24"/>
          <w:szCs w:val="24"/>
        </w:rPr>
        <w:t xml:space="preserve">Report 1 of 3 — Post-PDR Assessment</w:t>
      </w:r>
    </w:p>
    <w:p>
      <w:pPr>
        <w:spacing w:after="240" w:before="0"/>
        <w:jc w:val="center"/>
      </w:pPr>
      <w:r>
        <w:rPr>
          <w:rFonts w:ascii="Arial" w:cs="Arial" w:eastAsia="Arial" w:hAnsi="Arial"/>
          <w:color w:val="555555"/>
          <w:sz w:val="21"/>
          <w:szCs w:val="21"/>
        </w:rPr>
        <w:t xml:space="preserve">DO-0003 | JLTV HED Powertrain Prototype | NSWC Crane MXPQ</w:t>
      </w:r>
    </w:p>
    <w:p>
      <w:pPr>
        <w:pStyle w:val="Heading1"/>
        <w:pBdr>
          <w:bottom w:val="single" w:color="1C3557" w:sz="3" w:space="1"/>
        </w:pBdr>
        <w:spacing w:after="120" w:before="280"/>
      </w:pPr>
      <w:r>
        <w:rPr>
          <w:rFonts w:ascii="Arial" w:cs="Arial" w:eastAsia="Arial" w:hAnsi="Arial"/>
          <w:b/>
          <w:bCs/>
          <w:color w:val="1C3557"/>
          <w:sz w:val="26"/>
          <w:szCs w:val="26"/>
        </w:rPr>
        <w:t xml:space="preserve">Header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bCs/>
                <w:sz w:val="20"/>
                <w:szCs w:val="20"/>
              </w:rPr>
              <w:t xml:space="preserve">Delivery Order</w:t>
            </w:r>
          </w:p>
        </w:tc>
        <w:tc>
          <w:tcPr>
            <w:tcW w:type="dxa" w:w="624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20"/>
                <w:szCs w:val="20"/>
              </w:rPr>
              <w:t xml:space="preserve">N00164-25-F-0003 (DO-0003)</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Assessment Period</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01 October 2024 – 19 February 2025</w:t>
            </w:r>
          </w:p>
        </w:tc>
      </w:tr>
      <w:tr>
        <w:tc>
          <w:tcPr>
            <w:tcW w:type="dxa" w:w="312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bCs/>
                <w:sz w:val="20"/>
                <w:szCs w:val="20"/>
              </w:rPr>
              <w:t xml:space="preserve">Report Date</w:t>
            </w:r>
          </w:p>
        </w:tc>
        <w:tc>
          <w:tcPr>
            <w:tcW w:type="dxa" w:w="624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20"/>
                <w:szCs w:val="20"/>
              </w:rPr>
              <w:t xml:space="preserve">07 March 2025</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Nicole Jacobs, Government PM/COR, NSWC Crane MXPQ</w:t>
            </w:r>
          </w:p>
        </w:tc>
      </w:tr>
      <w:tr>
        <w:tc>
          <w:tcPr>
            <w:tcW w:type="dxa" w:w="312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bCs/>
                <w:sz w:val="20"/>
                <w:szCs w:val="20"/>
              </w:rPr>
              <w:t xml:space="preserve">Distribution</w:t>
            </w:r>
          </w:p>
        </w:tc>
        <w:tc>
          <w:tcPr>
            <w:tcW w:type="dxa" w:w="624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20"/>
                <w:szCs w:val="20"/>
              </w:rPr>
              <w:t xml:space="preserve">Ashley Bechtel (CO); MXPQ Program File; CPARS System</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Trigger Event</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PDR Completion (19 February 2025)</w:t>
            </w:r>
          </w:p>
        </w:tc>
      </w:tr>
    </w:tbl>
    <w:p>
      <w:pPr>
        <w:spacing w:after="60" w:before="60"/>
      </w:pPr>
      <w:r>
        <w:t xml:space="preserve"/>
      </w:r>
    </w:p>
    <w:p>
      <w:pPr>
        <w:pStyle w:val="Heading1"/>
        <w:pBdr>
          <w:bottom w:val="single" w:color="1C3557" w:sz="3" w:space="1"/>
        </w:pBdr>
        <w:spacing w:after="120" w:before="280"/>
      </w:pPr>
      <w:r>
        <w:rPr>
          <w:rFonts w:ascii="Arial" w:cs="Arial" w:eastAsia="Arial" w:hAnsi="Arial"/>
          <w:b/>
          <w:bCs/>
          <w:color w:val="1C3557"/>
          <w:sz w:val="26"/>
          <w:szCs w:val="26"/>
        </w:rPr>
        <w:t xml:space="preserve">1. Purpose and Context</w:t>
      </w:r>
    </w:p>
    <w:p>
      <w:pPr>
        <w:spacing w:after="100" w:before="80"/>
      </w:pPr>
      <w:r>
        <w:rPr>
          <w:rFonts w:ascii="Arial" w:cs="Arial" w:eastAsia="Arial" w:hAnsi="Arial"/>
          <w:sz w:val="22"/>
          <w:szCs w:val="22"/>
        </w:rPr>
        <w:t xml:space="preserve">This Performance Narrative Report documents the Government's assessment of Meridian Drive Systems, LLC performance on DO-0003 through completion of the Preliminary Design Review (PDR) on 19 February 2025. This report is prepared by Nicole Jacobs, Government PM/COR, NSWC Crane Mobility Systems Engineering Branch (MXPQ), and is submitted to the Contracting Officer and placed in the program file as a contemporaneous performance record.</w:t>
      </w:r>
    </w:p>
    <w:p>
      <w:pPr>
        <w:spacing w:after="60" w:before="60"/>
      </w:pPr>
      <w:r>
        <w:t xml:space="preserve"/>
      </w:r>
    </w:p>
    <w:p>
      <w:pPr>
        <w:spacing w:after="100" w:before="80"/>
      </w:pPr>
      <w:r>
        <w:rPr>
          <w:rFonts w:ascii="Arial" w:cs="Arial" w:eastAsia="Arial" w:hAnsi="Arial"/>
          <w:sz w:val="22"/>
          <w:szCs w:val="22"/>
        </w:rPr>
        <w:t xml:space="preserve">The PDR milestone is the first major technical gate on DO-0003 and the first substantive basis for assessing contractor design maturity, technical adequacy, and management performance.</w:t>
      </w:r>
    </w:p>
    <w:p>
      <w:pPr>
        <w:pStyle w:val="Heading1"/>
        <w:pBdr>
          <w:bottom w:val="single" w:color="1C3557" w:sz="3" w:space="1"/>
        </w:pBdr>
        <w:spacing w:after="120" w:before="280"/>
      </w:pPr>
      <w:r>
        <w:rPr>
          <w:rFonts w:ascii="Arial" w:cs="Arial" w:eastAsia="Arial" w:hAnsi="Arial"/>
          <w:b/>
          <w:bCs/>
          <w:color w:val="1C3557"/>
          <w:sz w:val="26"/>
          <w:szCs w:val="26"/>
        </w:rPr>
        <w:t xml:space="preserve">2. Summary Assessment</w:t>
      </w:r>
    </w:p>
    <w:p>
      <w:pPr>
        <w:spacing w:after="100" w:before="80"/>
      </w:pPr>
      <w:r>
        <w:rPr>
          <w:rFonts w:ascii="Arial" w:cs="Arial" w:eastAsia="Arial" w:hAnsi="Arial"/>
          <w:sz w:val="22"/>
          <w:szCs w:val="22"/>
        </w:rPr>
        <w:t xml:space="preserve">Performance to the PDR milestone is below the standard expected for a contractor at this stage of a prototype development program. The primary concerns are: (1) the PDR package was submitted 47 days late with no advance notification to the Government; (2) the technical content of the PDR package was insufficient in two critical areas (thermal management and torque margin substantiation), resulting in 22 Government action items — a high number for a program of this scope; and (3) staffing deficiencies at contract start appear to have contributed directly to the technical gaps in the PDR.</w:t>
      </w:r>
    </w:p>
    <w:p>
      <w:pPr>
        <w:spacing w:after="60" w:before="60"/>
      </w:pPr>
      <w:r>
        <w:t xml:space="preserve"/>
      </w:r>
    </w:p>
    <w:p>
      <w:pPr>
        <w:spacing w:after="100" w:before="80"/>
      </w:pPr>
      <w:r>
        <w:rPr>
          <w:rFonts w:ascii="Arial" w:cs="Arial" w:eastAsia="Arial" w:hAnsi="Arial"/>
          <w:sz w:val="22"/>
          <w:szCs w:val="22"/>
        </w:rPr>
        <w:t xml:space="preserve">There are no concerns with the contractor's honesty or good faith. The technical team is engaged and responsive in verbal discussions. The deficiencies are primarily in planning, proactive communication, and depth of analysis.</w:t>
      </w:r>
    </w:p>
    <w:p>
      <w:pPr>
        <w:pStyle w:val="Heading1"/>
        <w:pBdr>
          <w:bottom w:val="single" w:color="1C3557" w:sz="3" w:space="1"/>
        </w:pBdr>
        <w:spacing w:after="120" w:before="280"/>
      </w:pPr>
      <w:r>
        <w:rPr>
          <w:rFonts w:ascii="Arial" w:cs="Arial" w:eastAsia="Arial" w:hAnsi="Arial"/>
          <w:b/>
          <w:bCs/>
          <w:color w:val="1C3557"/>
          <w:sz w:val="26"/>
          <w:szCs w:val="26"/>
        </w:rPr>
        <w:t xml:space="preserve">3. Schedule Performance</w:t>
      </w:r>
    </w:p>
    <w:p>
      <w:pPr>
        <w:spacing w:after="100" w:before="80"/>
      </w:pPr>
      <w:r>
        <w:rPr>
          <w:rFonts w:ascii="Arial" w:cs="Arial" w:eastAsia="Arial" w:hAnsi="Arial"/>
          <w:sz w:val="22"/>
          <w:szCs w:val="22"/>
        </w:rPr>
        <w:t xml:space="preserve">The PDR package was due 15 December 2024. It was submitted 31 January 2025 — 47 days late. The contractor did not notify the Government of the impending delay prior to the due date, nor did Meridian provide an interim status update when it became apparent the December date would not be met. The first communication from the contractor indicating a likely slip was a brief note in a December 2024 internal status email forwarded informally to this office; no formal notification or revised commitment was provided.</w:t>
      </w:r>
    </w:p>
    <w:p>
      <w:pPr>
        <w:spacing w:after="60" w:before="60"/>
      </w:pPr>
      <w:r>
        <w:t xml:space="preserve"/>
      </w:r>
    </w:p>
    <w:p>
      <w:pPr>
        <w:spacing w:after="100" w:before="80"/>
      </w:pPr>
      <w:r>
        <w:rPr>
          <w:rFonts w:ascii="Arial" w:cs="Arial" w:eastAsia="Arial" w:hAnsi="Arial"/>
          <w:sz w:val="22"/>
          <w:szCs w:val="22"/>
        </w:rPr>
        <w:t xml:space="preserve">The PDR was subsequently conducted on 19 February 2025, 40 days after the planned date of 10 January 2025.</w:t>
      </w:r>
    </w:p>
    <w:p>
      <w:pPr>
        <w:spacing w:after="60" w:before="60"/>
      </w:pPr>
      <w:r>
        <w:t xml:space="preserve"/>
      </w:r>
    </w:p>
    <w:p>
      <w:pPr>
        <w:spacing w:after="100" w:before="80"/>
      </w:pPr>
      <w:r>
        <w:rPr>
          <w:rFonts w:ascii="Arial" w:cs="Arial" w:eastAsia="Arial" w:hAnsi="Arial"/>
          <w:sz w:val="22"/>
          <w:szCs w:val="22"/>
        </w:rPr>
        <w:t xml:space="preserve">A Technical Interchange Meeting proposed by Meridian for January 2025 (to review the architecture trade study prior to PDR) was scheduled once, then rescheduled to a date that also passed without the meeting occurring. As of the PDR conduct date, no TIM had been held. This is a missed opportunity: a well-executed TIM would likely have surfaced the thermal management analysis gaps before Government PDR review, potentially reducing the action item volume.</w:t>
      </w:r>
    </w:p>
    <w:p>
      <w:pPr>
        <w:spacing w:after="60" w:before="60"/>
      </w:pPr>
      <w:r>
        <w:t xml:space="preserve"/>
      </w:r>
    </w:p>
    <w:p>
      <w:pPr>
        <w:spacing w:after="100" w:before="80"/>
      </w:pPr>
      <w:r>
        <w:rPr>
          <w:rFonts w:ascii="Arial" w:cs="Arial" w:eastAsia="Arial" w:hAnsi="Arial"/>
          <w:sz w:val="22"/>
          <w:szCs w:val="22"/>
        </w:rPr>
        <w:t xml:space="preserve">The Motor Controls Engineer position was not filled at contract start (October 2024) and remained vacant through PDR conduct (February 2025). This four-month vacancy during the PDR preparation period is directly relevant to the technical gaps identified at PDR. The proposal staffing plan identified this position as a critical technical resource for HED design.</w:t>
      </w:r>
    </w:p>
    <w:p>
      <w:pPr>
        <w:pStyle w:val="Heading1"/>
        <w:pBdr>
          <w:bottom w:val="single" w:color="1C3557" w:sz="3" w:space="1"/>
        </w:pBdr>
        <w:spacing w:after="120" w:before="280"/>
      </w:pPr>
      <w:r>
        <w:rPr>
          <w:rFonts w:ascii="Arial" w:cs="Arial" w:eastAsia="Arial" w:hAnsi="Arial"/>
          <w:b/>
          <w:bCs/>
          <w:color w:val="1C3557"/>
          <w:sz w:val="26"/>
          <w:szCs w:val="26"/>
        </w:rPr>
        <w:t xml:space="preserve">4. Technical Assessment</w:t>
      </w:r>
    </w:p>
    <w:p>
      <w:pPr>
        <w:spacing w:after="100" w:before="80"/>
      </w:pPr>
      <w:r>
        <w:rPr>
          <w:rFonts w:ascii="Arial" w:cs="Arial" w:eastAsia="Arial" w:hAnsi="Arial"/>
          <w:sz w:val="22"/>
          <w:szCs w:val="22"/>
        </w:rPr>
        <w:t xml:space="preserve">The PDR architecture selection (Series-Parallel Split, Architecture Option 2) is technically defensible and consistent with the JLTV platform's integration constraints. Government reviewers found the mechanical integration concept and preliminary interface definition adequate.</w:t>
      </w:r>
    </w:p>
    <w:p>
      <w:pPr>
        <w:spacing w:after="60" w:before="60"/>
      </w:pPr>
      <w:r>
        <w:t xml:space="preserve"/>
      </w:r>
    </w:p>
    <w:p>
      <w:pPr>
        <w:spacing w:after="100" w:before="80"/>
      </w:pPr>
      <w:r>
        <w:rPr>
          <w:rFonts w:ascii="Arial" w:cs="Arial" w:eastAsia="Arial" w:hAnsi="Arial"/>
          <w:sz w:val="22"/>
          <w:szCs w:val="22"/>
        </w:rPr>
        <w:t xml:space="preserve">The thermal management analysis presented at PDR was inadequate. The analysis did not bound the motor controller operating environment at the maximum ambient temperature condition specified in the SOO, and did not address the combined thermal load from the HED system and the JLTV's existing electrical system. Government reviewers identified that the analysis as presented did not demonstrate KPP compliance and could not be used to verify MIL-STD-810 compliance without significant additional work.</w:t>
      </w:r>
    </w:p>
    <w:p>
      <w:pPr>
        <w:spacing w:after="60" w:before="60"/>
      </w:pPr>
      <w:r>
        <w:t xml:space="preserve"/>
      </w:r>
    </w:p>
    <w:p>
      <w:pPr>
        <w:spacing w:after="100" w:before="80"/>
      </w:pPr>
      <w:r>
        <w:rPr>
          <w:rFonts w:ascii="Arial" w:cs="Arial" w:eastAsia="Arial" w:hAnsi="Arial"/>
          <w:sz w:val="22"/>
          <w:szCs w:val="22"/>
        </w:rPr>
        <w:t xml:space="preserve">The torque output margin analysis did not account for manufacturing tolerance stack-up effects on the motor-drivetrain coupling efficiency, resulting in an optimistic torque estimate that does not adequately substantiate the threshold KPP.</w:t>
      </w:r>
    </w:p>
    <w:p>
      <w:pPr>
        <w:spacing w:after="60" w:before="60"/>
      </w:pPr>
      <w:r>
        <w:t xml:space="preserve"/>
      </w:r>
    </w:p>
    <w:p>
      <w:pPr>
        <w:spacing w:after="100" w:before="80"/>
      </w:pPr>
      <w:r>
        <w:rPr>
          <w:rFonts w:ascii="Arial" w:cs="Arial" w:eastAsia="Arial" w:hAnsi="Arial"/>
          <w:sz w:val="22"/>
          <w:szCs w:val="22"/>
        </w:rPr>
        <w:t xml:space="preserve">These two technical gaps are related to the unstaffed Motor Controls Engineer position. The thermal and torque margin analyses require integrated electrical-mechanical analysis that benefits directly from the motor controls domain expertise the proposal identified for this position.</w:t>
      </w:r>
    </w:p>
    <w:p>
      <w:pPr>
        <w:spacing w:after="60" w:before="60"/>
      </w:pPr>
      <w:r>
        <w:t xml:space="preserve"/>
      </w:r>
    </w:p>
    <w:p>
      <w:pPr>
        <w:spacing w:after="100" w:before="80"/>
      </w:pPr>
      <w:r>
        <w:rPr>
          <w:rFonts w:ascii="Arial" w:cs="Arial" w:eastAsia="Arial" w:hAnsi="Arial"/>
          <w:sz w:val="22"/>
          <w:szCs w:val="22"/>
        </w:rPr>
        <w:t xml:space="preserve">22 action items were issued to Meridian on 07 March 2025. Of these, 8 are administrative or documentation clarifications that should be straightforward to resolve. 11 require substantive technical revision. 3 are elevated to open issues for CDR resolution. The Government will conduct a structured review of Meridian's action item responses.</w:t>
      </w:r>
    </w:p>
    <w:p>
      <w:pPr>
        <w:pStyle w:val="Heading1"/>
        <w:pBdr>
          <w:bottom w:val="single" w:color="1C3557" w:sz="3" w:space="1"/>
        </w:pBdr>
        <w:spacing w:after="120" w:before="280"/>
      </w:pPr>
      <w:r>
        <w:rPr>
          <w:rFonts w:ascii="Arial" w:cs="Arial" w:eastAsia="Arial" w:hAnsi="Arial"/>
          <w:b/>
          <w:bCs/>
          <w:color w:val="1C3557"/>
          <w:sz w:val="26"/>
          <w:szCs w:val="26"/>
        </w:rPr>
        <w:t xml:space="preserve">5. Government Actions and Concerns</w:t>
      </w:r>
    </w:p>
    <w:p>
      <w:pPr>
        <w:spacing w:after="100" w:before="80"/>
      </w:pPr>
      <w:r>
        <w:rPr>
          <w:rFonts w:ascii="Arial" w:cs="Arial" w:eastAsia="Arial" w:hAnsi="Arial"/>
          <w:sz w:val="22"/>
          <w:szCs w:val="22"/>
        </w:rPr>
        <w:t xml:space="preserve">The Government is monitoring this program closely. The following concerns are formally documented in this PNR:</w:t>
      </w:r>
    </w:p>
    <w:p>
      <w:pPr>
        <w:spacing w:after="60" w:before="60"/>
      </w:pPr>
      <w:r>
        <w:t xml:space="preserve"/>
      </w:r>
    </w:p>
    <w:p>
      <w:pPr>
        <w:spacing w:after="100" w:before="80"/>
      </w:pPr>
      <w:r>
        <w:rPr>
          <w:rFonts w:ascii="Arial" w:cs="Arial" w:eastAsia="Arial" w:hAnsi="Arial"/>
          <w:sz w:val="22"/>
          <w:szCs w:val="22"/>
        </w:rPr>
        <w:t xml:space="preserve">Concern 1 — Proactive communication: The contractor has not been communicating schedule risks proactively. The PDR delay was not surfaced until after the due date had passed. The Government expects to receive advance notification of any anticipated CDRL or milestone delivery risk, with a minimum of 14 days notice when a slippage is projected.</w:t>
      </w:r>
    </w:p>
    <w:p>
      <w:pPr>
        <w:spacing w:after="60" w:before="60"/>
      </w:pPr>
      <w:r>
        <w:t xml:space="preserve"/>
      </w:r>
    </w:p>
    <w:p>
      <w:pPr>
        <w:spacing w:after="100" w:before="80"/>
      </w:pPr>
      <w:r>
        <w:rPr>
          <w:rFonts w:ascii="Arial" w:cs="Arial" w:eastAsia="Arial" w:hAnsi="Arial"/>
          <w:sz w:val="22"/>
          <w:szCs w:val="22"/>
        </w:rPr>
        <w:t xml:space="preserve">Concern 2 — Staffing plan execution: The Motor Controls Engineer vacancy at PDR was not disclosed to the Government in the Q1 progress report, which noted only that "recruitment is underway." The Government expects full transparency on staffing plan deviations.</w:t>
      </w:r>
    </w:p>
    <w:p>
      <w:pPr>
        <w:spacing w:after="60" w:before="60"/>
      </w:pPr>
      <w:r>
        <w:t xml:space="preserve"/>
      </w:r>
    </w:p>
    <w:p>
      <w:pPr>
        <w:spacing w:after="100" w:before="80"/>
      </w:pPr>
      <w:r>
        <w:rPr>
          <w:rFonts w:ascii="Arial" w:cs="Arial" w:eastAsia="Arial" w:hAnsi="Arial"/>
          <w:sz w:val="22"/>
          <w:szCs w:val="22"/>
        </w:rPr>
        <w:t xml:space="preserve">Concern 3 — Action item response quality: Given the technical depth of 14 of the 22 action items, the Government expects Meridian's responses to be substantively complete and technically rigorous. Partial or placeholder responses will not be accepted.</w:t>
      </w:r>
    </w:p>
    <w:p>
      <w:pPr>
        <w:spacing w:after="60" w:before="60"/>
      </w:pPr>
      <w:r>
        <w:t xml:space="preserve"/>
      </w:r>
    </w:p>
    <w:p>
      <w:pPr>
        <w:spacing w:after="100" w:before="80"/>
      </w:pPr>
      <w:r>
        <w:rPr>
          <w:rFonts w:ascii="Arial" w:cs="Arial" w:eastAsia="Arial" w:hAnsi="Arial"/>
          <w:sz w:val="22"/>
          <w:szCs w:val="22"/>
        </w:rPr>
        <w:t xml:space="preserve">The Government does not consider these concerns to rise to the level of a Corrective Action Request at this time. If the CDR preparation period does not demonstrate improvement in proactive communication and technical analysis rigor, a CAR will be issued.</w:t>
      </w:r>
    </w:p>
    <w:p>
      <w:pPr>
        <w:pStyle w:val="Heading1"/>
        <w:pBdr>
          <w:bottom w:val="single" w:color="1C3557" w:sz="3" w:space="1"/>
        </w:pBdr>
        <w:spacing w:after="120" w:before="280"/>
      </w:pPr>
      <w:r>
        <w:rPr>
          <w:rFonts w:ascii="Arial" w:cs="Arial" w:eastAsia="Arial" w:hAnsi="Arial"/>
          <w:b/>
          <w:bCs/>
          <w:color w:val="1C3557"/>
          <w:sz w:val="26"/>
          <w:szCs w:val="26"/>
        </w:rPr>
        <w:t xml:space="preserve">6. Outlook</w:t>
      </w:r>
    </w:p>
    <w:p>
      <w:pPr>
        <w:spacing w:after="100" w:before="80"/>
      </w:pPr>
      <w:r>
        <w:rPr>
          <w:rFonts w:ascii="Arial" w:cs="Arial" w:eastAsia="Arial" w:hAnsi="Arial"/>
          <w:sz w:val="22"/>
          <w:szCs w:val="22"/>
        </w:rPr>
        <w:t xml:space="preserve">The CDR preparation period (approximately 11 weeks from PDR action item distribution to the planned CDR date) is compressed given the volume of technical action items that must be resolved. The Government has communicated to Meridian that the CDR package will be reviewed against a high bar, particularly on the thermal management and torque margin items.</w:t>
      </w:r>
    </w:p>
    <w:p>
      <w:pPr>
        <w:spacing w:after="60" w:before="60"/>
      </w:pPr>
      <w:r>
        <w:t xml:space="preserve"/>
      </w:r>
    </w:p>
    <w:p>
      <w:pPr>
        <w:spacing w:after="100" w:before="80"/>
      </w:pPr>
      <w:r>
        <w:rPr>
          <w:rFonts w:ascii="Arial" w:cs="Arial" w:eastAsia="Arial" w:hAnsi="Arial"/>
          <w:sz w:val="22"/>
          <w:szCs w:val="22"/>
        </w:rPr>
        <w:t xml:space="preserve">The onboarding of the Motor Controls Engineer (Thomas Hess, 03 February 2025) is a positive development. The Government expects to see improved technical quality in the CDR package as a result.</w:t>
      </w:r>
    </w:p>
    <w:p>
      <w:pPr>
        <w:spacing w:after="60" w:before="60"/>
      </w:pPr>
      <w:r>
        <w:t xml:space="preserve"/>
      </w:r>
    </w:p>
    <w:p>
      <w:pPr>
        <w:spacing w:after="100" w:before="80"/>
      </w:pPr>
      <w:r>
        <w:rPr>
          <w:rFonts w:ascii="Arial" w:cs="Arial" w:eastAsia="Arial" w:hAnsi="Arial"/>
          <w:sz w:val="22"/>
          <w:szCs w:val="22"/>
        </w:rPr>
        <w:t xml:space="preserve">This PNR will be updated following CDR completion.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C3557"/>
      <w:sz w:val="26"/>
      <w:szCs w:val="26"/>
    </w:rPr>
  </w:style>
  <w:style w:type="paragraph" w:styleId="Heading2">
    <w:name w:val="Heading 2"/>
    <w:basedOn w:val="Normal"/>
    <w:next w:val="Normal"/>
    <w:qFormat/>
    <w:pPr>
      <w:spacing w:after="80" w:before="180"/>
      <w:outlineLvl w:val="1"/>
    </w:pPr>
    <w:rPr>
      <w:rFonts w:ascii="Arial" w:cs="Arial" w:eastAsia="Arial" w:hAnsi="Arial"/>
      <w:b/>
      <w:bCs/>
      <w:color w:val="2B5F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2026-04-26T18:02:47.198Z</dcterms:created>
  <dcterms:modified xsi:type="dcterms:W3CDTF">2026-04-26T18:02:47.198Z</dcterms:modified>
</cp:coreProperties>
</file>

<file path=docProps/custom.xml><?xml version="1.0" encoding="utf-8"?>
<Properties xmlns="http://schemas.openxmlformats.org/officeDocument/2006/custom-properties" xmlns:vt="http://schemas.openxmlformats.org/officeDocument/2006/docPropsVTypes"/>
</file>