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C3557"/>
          <w:sz w:val="30"/>
          <w:szCs w:val="30"/>
        </w:rPr>
        <w:t xml:space="preserve">GOVERNMENT PERFORMANCE NARRATIVE REPORT (PNR)</w:t>
      </w:r>
    </w:p>
    <w:p>
      <w:pPr>
        <w:spacing w:after="60" w:before="0"/>
        <w:jc w:val="center"/>
      </w:pPr>
      <w:r>
        <w:rPr>
          <w:rFonts w:ascii="Arial" w:cs="Arial" w:eastAsia="Arial" w:hAnsi="Arial"/>
          <w:color w:val="2B5F8C"/>
          <w:sz w:val="24"/>
          <w:szCs w:val="24"/>
        </w:rPr>
        <w:t xml:space="preserve">Report 3 of 3 — Program Closeout Assessment</w:t>
      </w:r>
    </w:p>
    <w:p>
      <w:pPr>
        <w:spacing w:after="240" w:before="0"/>
        <w:jc w:val="center"/>
      </w:pPr>
      <w:r>
        <w:rPr>
          <w:rFonts w:ascii="Arial" w:cs="Arial" w:eastAsia="Arial" w:hAnsi="Arial"/>
          <w:color w:val="555555"/>
          <w:sz w:val="21"/>
          <w:szCs w:val="21"/>
        </w:rPr>
        <w:t xml:space="preserve">DO-0003 | JLTV HED Powertrain Prototype | NSWC Crane MXPQ</w:t>
      </w:r>
    </w:p>
    <w:p>
      <w:pPr>
        <w:pStyle w:val="Heading1"/>
        <w:pBdr>
          <w:bottom w:val="single" w:color="1C3557" w:sz="3" w:space="1"/>
        </w:pBdr>
        <w:spacing w:after="120" w:before="280"/>
      </w:pPr>
      <w:r>
        <w:rPr>
          <w:rFonts w:ascii="Arial" w:cs="Arial" w:eastAsia="Arial" w:hAnsi="Arial"/>
          <w:b/>
          <w:bCs/>
          <w:color w:val="1C3557"/>
          <w:sz w:val="26"/>
          <w:szCs w:val="26"/>
        </w:rPr>
        <w:t xml:space="preserve">Header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Delivery Order</w:t>
            </w:r>
          </w:p>
        </w:tc>
        <w:tc>
          <w:tcPr>
            <w:tcW w:type="dxa" w:w="62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N00164-25-F-0003 (DO-0003)</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Assessment Period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 October 2025 – 31 March 2026</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Report Date</w:t>
            </w:r>
          </w:p>
        </w:tc>
        <w:tc>
          <w:tcPr>
            <w:tcW w:type="dxa" w:w="62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15 April 2026</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Nicole Jacobs, Government PM/COR, NSWC Crane MXPQ</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b/>
                <w:bCs/>
                <w:sz w:val="20"/>
                <w:szCs w:val="20"/>
              </w:rPr>
              <w:t xml:space="preserve">Distribution</w:t>
            </w:r>
          </w:p>
        </w:tc>
        <w:tc>
          <w:tcPr>
            <w:tcW w:type="dxa" w:w="624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20"/>
                <w:szCs w:val="20"/>
              </w:rPr>
              <w:t xml:space="preserve">Ashley Bechtel (CO); MXPQ Program File; CPARS System</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Trigger Event</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Prototype Formal Acceptance (28 March 2026) and Period of Performance End (31 March 2026)</w:t>
            </w:r>
          </w:p>
        </w:tc>
      </w:tr>
    </w:tbl>
    <w:p>
      <w:pPr>
        <w:spacing w:after="60" w:before="60"/>
      </w:pPr>
      <w:r>
        <w:t xml:space="preserve"/>
      </w:r>
    </w:p>
    <w:p>
      <w:pPr>
        <w:pStyle w:val="Heading1"/>
        <w:pBdr>
          <w:bottom w:val="single" w:color="1C3557" w:sz="3" w:space="1"/>
        </w:pBdr>
        <w:spacing w:after="120" w:before="280"/>
      </w:pPr>
      <w:r>
        <w:rPr>
          <w:rFonts w:ascii="Arial" w:cs="Arial" w:eastAsia="Arial" w:hAnsi="Arial"/>
          <w:b/>
          <w:bCs/>
          <w:color w:val="1C3557"/>
          <w:sz w:val="26"/>
          <w:szCs w:val="26"/>
        </w:rPr>
        <w:t xml:space="preserve">1. Purpose and Context</w:t>
      </w:r>
    </w:p>
    <w:p>
      <w:pPr>
        <w:spacing w:after="100" w:before="80"/>
      </w:pPr>
      <w:r>
        <w:rPr>
          <w:rFonts w:ascii="Arial" w:cs="Arial" w:eastAsia="Arial" w:hAnsi="Arial"/>
          <w:sz w:val="22"/>
          <w:szCs w:val="22"/>
        </w:rPr>
        <w:t xml:space="preserve">This is the final Performance Narrative Report for DO-0003, prepared following prototype formal acceptance on 28 March 2026 and period of performance conclusion on 31 March 2026. It covers the integration, testing, and closeout phases and provides the Government's complete program performance assessment for input to the final CPAR.</w:t>
      </w:r>
    </w:p>
    <w:p>
      <w:pPr>
        <w:pStyle w:val="Heading1"/>
        <w:pBdr>
          <w:bottom w:val="single" w:color="1C3557" w:sz="3" w:space="1"/>
        </w:pBdr>
        <w:spacing w:after="120" w:before="280"/>
      </w:pPr>
      <w:r>
        <w:rPr>
          <w:rFonts w:ascii="Arial" w:cs="Arial" w:eastAsia="Arial" w:hAnsi="Arial"/>
          <w:b/>
          <w:bCs/>
          <w:color w:val="1C3557"/>
          <w:sz w:val="26"/>
          <w:szCs w:val="26"/>
        </w:rPr>
        <w:t xml:space="preserve">2. Summary Assessment</w:t>
      </w:r>
    </w:p>
    <w:p>
      <w:pPr>
        <w:spacing w:after="100" w:before="80"/>
      </w:pPr>
      <w:r>
        <w:rPr>
          <w:rFonts w:ascii="Arial" w:cs="Arial" w:eastAsia="Arial" w:hAnsi="Arial"/>
          <w:sz w:val="22"/>
          <w:szCs w:val="22"/>
        </w:rPr>
        <w:t xml:space="preserve">DO-0003 concluded with formal Government acceptance of the prototype, a result that required a test failure, a formal deficiency report, a disputed thermal test interpretation, a re-test, and a Government disposition before acceptance was achieved. The prototype meets all contractual threshold KPPs as finally measured, but no objective KPP values were met. Final prototype delivery occurred 148 days after the original contractual delivery date.</w:t>
      </w:r>
    </w:p>
    <w:p>
      <w:pPr>
        <w:spacing w:after="60" w:before="60"/>
      </w:pPr>
      <w:r>
        <w:t xml:space="preserve"/>
      </w:r>
    </w:p>
    <w:p>
      <w:pPr>
        <w:spacing w:after="100" w:before="80"/>
      </w:pPr>
      <w:r>
        <w:rPr>
          <w:rFonts w:ascii="Arial" w:cs="Arial" w:eastAsia="Arial" w:hAnsi="Arial"/>
          <w:sz w:val="22"/>
          <w:szCs w:val="22"/>
        </w:rPr>
        <w:t xml:space="preserve">The program's close is a qualified success from a technical standpoint: the HED system works, meets minimum performance requirements, and represents genuine engineering accomplishment by Meridian's technical team. The program management and communication performance, however, was not at the standard expected for a prime contractor on a $3.2M FFP prototype development effort, and the Government's assessment is as documented in this PNR and the accompanying CPAR.</w:t>
      </w:r>
    </w:p>
    <w:p>
      <w:pPr>
        <w:pStyle w:val="Heading1"/>
        <w:pBdr>
          <w:bottom w:val="single" w:color="1C3557" w:sz="3" w:space="1"/>
        </w:pBdr>
        <w:spacing w:after="120" w:before="280"/>
      </w:pPr>
      <w:r>
        <w:rPr>
          <w:rFonts w:ascii="Arial" w:cs="Arial" w:eastAsia="Arial" w:hAnsi="Arial"/>
          <w:b/>
          <w:bCs/>
          <w:color w:val="1C3557"/>
          <w:sz w:val="26"/>
          <w:szCs w:val="26"/>
        </w:rPr>
        <w:t xml:space="preserve">3. Integration Phase Performance</w:t>
      </w:r>
    </w:p>
    <w:p>
      <w:pPr>
        <w:spacing w:after="100" w:before="80"/>
      </w:pPr>
      <w:r>
        <w:rPr>
          <w:rFonts w:ascii="Arial" w:cs="Arial" w:eastAsia="Arial" w:hAnsi="Arial"/>
          <w:sz w:val="22"/>
          <w:szCs w:val="22"/>
        </w:rPr>
        <w:t xml:space="preserve">The GFE JLTV was received on 29 October 2025, approximately 75 days after the originally stated Government delivery date of 15 August 2025. The Government acknowledges this delay and notes it is a Government-caused contributing factor to the overall schedule. Meridian documented the GFE receipt discrepancies appropriately.</w:t>
      </w:r>
    </w:p>
    <w:p>
      <w:pPr>
        <w:spacing w:after="60" w:before="60"/>
      </w:pPr>
      <w:r>
        <w:t xml:space="preserve"/>
      </w:r>
    </w:p>
    <w:p>
      <w:pPr>
        <w:spacing w:after="100" w:before="80"/>
      </w:pPr>
      <w:r>
        <w:rPr>
          <w:rFonts w:ascii="Arial" w:cs="Arial" w:eastAsia="Arial" w:hAnsi="Arial"/>
          <w:sz w:val="22"/>
          <w:szCs w:val="22"/>
        </w:rPr>
        <w:t xml:space="preserve">Mechanical integration was completed on 19 November 2025 and electrical integration on 08 December 2025, both approximately consistent with the revised schedule. The discovery of a ground fault condition on 22 December 2025 during initial powered checkout was a significant negative event. Root cause analysis and corrective action were handled competently by Meridian's engineering team; the fault was resolved and verified on 16 January 2026.</w:t>
      </w:r>
    </w:p>
    <w:p>
      <w:pPr>
        <w:spacing w:after="60" w:before="60"/>
      </w:pPr>
      <w:r>
        <w:t xml:space="preserve"/>
      </w:r>
    </w:p>
    <w:p>
      <w:pPr>
        <w:spacing w:after="100" w:before="80"/>
      </w:pPr>
      <w:r>
        <w:rPr>
          <w:rFonts w:ascii="Arial" w:cs="Arial" w:eastAsia="Arial" w:hAnsi="Arial"/>
          <w:sz w:val="22"/>
          <w:szCs w:val="22"/>
        </w:rPr>
        <w:t xml:space="preserve">However, the Government notes that a thorough pre-integration characterization of the GFE vehicle's electrical distribution system — a standard practice for HV system integration into legacy platforms — would likely have identified the impedance compatibility issue before it manifested as a fault during system checkout. This gap in integration planning is consistent with the broader pattern of technical preparation issues observed throughout the program.</w:t>
      </w:r>
    </w:p>
    <w:p>
      <w:pPr>
        <w:pStyle w:val="Heading1"/>
        <w:pBdr>
          <w:bottom w:val="single" w:color="1C3557" w:sz="3" w:space="1"/>
        </w:pBdr>
        <w:spacing w:after="120" w:before="280"/>
      </w:pPr>
      <w:r>
        <w:rPr>
          <w:rFonts w:ascii="Arial" w:cs="Arial" w:eastAsia="Arial" w:hAnsi="Arial"/>
          <w:b/>
          <w:bCs/>
          <w:color w:val="1C3557"/>
          <w:sz w:val="26"/>
          <w:szCs w:val="26"/>
        </w:rPr>
        <w:t xml:space="preserve">4. Acceptance Testing and Test Deficiency</w:t>
      </w:r>
    </w:p>
    <w:p>
      <w:pPr>
        <w:spacing w:after="100" w:before="80"/>
      </w:pPr>
      <w:r>
        <w:rPr>
          <w:rFonts w:ascii="Arial" w:cs="Arial" w:eastAsia="Arial" w:hAnsi="Arial"/>
          <w:sz w:val="22"/>
          <w:szCs w:val="22"/>
        </w:rPr>
        <w:t xml:space="preserve">Acceptance testing was conducted 03-21 February 2026. The Government test team (Nicole Jacobs and two MXPQ engineers) was present throughout. Contractor test personnel were cooperative, organized, and professionally engaged during testing.</w:t>
      </w:r>
    </w:p>
    <w:p>
      <w:pPr>
        <w:spacing w:after="60" w:before="60"/>
      </w:pPr>
      <w:r>
        <w:t xml:space="preserve"/>
      </w:r>
    </w:p>
    <w:p>
      <w:pPr>
        <w:spacing w:after="100" w:before="80"/>
      </w:pPr>
      <w:r>
        <w:rPr>
          <w:rFonts w:ascii="Arial" w:cs="Arial" w:eastAsia="Arial" w:hAnsi="Arial"/>
          <w:sz w:val="22"/>
          <w:szCs w:val="22"/>
        </w:rPr>
        <w:t xml:space="preserve">The initial torque test result of 571 lb-ft was 12.2% below the threshold KPP of 650 lb-ft. This is a significant KPP shortfall. The contractor did not provide advance notice that the torque result was at risk prior to the test; the test result came as a surprise to the Government. Pre-test predictions provided by Meridian's engineering team in January 2026 projected 660-680 lb-ft under nominal conditions. The Government test team's review of the discrepancy identified that the motor controller calibration used during testing was a development-configuration calibration file rather than the production calibration. Whether this was a test preparation error or a design oversight is not entirely clear from the record; the Government has accepted Meridian's characterization that it was a calibration file management error.</w:t>
      </w:r>
    </w:p>
    <w:p>
      <w:pPr>
        <w:spacing w:after="60" w:before="60"/>
      </w:pPr>
      <w:r>
        <w:t xml:space="preserve"/>
      </w:r>
    </w:p>
    <w:p>
      <w:pPr>
        <w:spacing w:after="100" w:before="80"/>
      </w:pPr>
      <w:r>
        <w:rPr>
          <w:rFonts w:ascii="Arial" w:cs="Arial" w:eastAsia="Arial" w:hAnsi="Arial"/>
          <w:sz w:val="22"/>
          <w:szCs w:val="22"/>
        </w:rPr>
        <w:t xml:space="preserve">The thermal test result exceedance of 7.3°C above limit at maximum ambient conditions confirmed the Government's concern documented in both prior PNRs. The Government's partial acceptance of Meridian's dispute argument regarding the test boundary condition was a close call; the Government test team assessed the boundary condition argument as technically arguable but noted that a contractor with adequate thermal margin would not have needed to make it.</w:t>
      </w:r>
    </w:p>
    <w:p>
      <w:pPr>
        <w:spacing w:after="60" w:before="60"/>
      </w:pPr>
      <w:r>
        <w:t xml:space="preserve"/>
      </w:r>
    </w:p>
    <w:p>
      <w:pPr>
        <w:spacing w:after="100" w:before="80"/>
      </w:pPr>
      <w:r>
        <w:rPr>
          <w:rFonts w:ascii="Arial" w:cs="Arial" w:eastAsia="Arial" w:hAnsi="Arial"/>
          <w:sz w:val="22"/>
          <w:szCs w:val="22"/>
        </w:rPr>
        <w:t xml:space="preserve">The re-test on 12-14 March 2026 achieved a torque result of 653 lb-ft — a 0.5% margin above threshold. This margin is thinner than the Government would expect from a mature design. The thermal re-test was not required.</w:t>
      </w:r>
    </w:p>
    <w:p>
      <w:pPr>
        <w:pStyle w:val="Heading1"/>
        <w:pBdr>
          <w:bottom w:val="single" w:color="1C3557" w:sz="3" w:space="1"/>
        </w:pBdr>
        <w:spacing w:after="120" w:before="280"/>
      </w:pPr>
      <w:r>
        <w:rPr>
          <w:rFonts w:ascii="Arial" w:cs="Arial" w:eastAsia="Arial" w:hAnsi="Arial"/>
          <w:b/>
          <w:bCs/>
          <w:color w:val="1C3557"/>
          <w:sz w:val="26"/>
          <w:szCs w:val="26"/>
        </w:rPr>
        <w:t xml:space="preserve">5. Communication and CDRL Performance — Final Assessment</w:t>
      </w:r>
    </w:p>
    <w:p>
      <w:pPr>
        <w:spacing w:after="100" w:before="80"/>
      </w:pPr>
      <w:r>
        <w:rPr>
          <w:rFonts w:ascii="Arial" w:cs="Arial" w:eastAsia="Arial" w:hAnsi="Arial"/>
          <w:sz w:val="22"/>
          <w:szCs w:val="22"/>
        </w:rPr>
        <w:t xml:space="preserve">The communication and reporting pattern observed throughout DO-0003 is summarized here for the CPAR record.</w:t>
      </w:r>
    </w:p>
    <w:p>
      <w:pPr>
        <w:spacing w:after="60" w:before="60"/>
      </w:pPr>
      <w:r>
        <w:t xml:space="preserve"/>
      </w:r>
    </w:p>
    <w:p>
      <w:pPr>
        <w:spacing w:after="100" w:before="80"/>
      </w:pPr>
      <w:r>
        <w:rPr>
          <w:rFonts w:ascii="Arial" w:cs="Arial" w:eastAsia="Arial" w:hAnsi="Arial"/>
          <w:sz w:val="22"/>
          <w:szCs w:val="22"/>
        </w:rPr>
        <w:t xml:space="preserve">CDRL A003 (Monthly Risk Reports) was submitted for 9 of 18 performance months. The Government sent written requests for the missing risk reports on four occasions; two of the four requests received responses, and in both cases the submitted risk reports were backdated to cover multiple missed months in a single submission.</w:t>
      </w:r>
    </w:p>
    <w:p>
      <w:pPr>
        <w:spacing w:after="60" w:before="60"/>
      </w:pPr>
      <w:r>
        <w:t xml:space="preserve"/>
      </w:r>
    </w:p>
    <w:p>
      <w:pPr>
        <w:spacing w:after="100" w:before="80"/>
      </w:pPr>
      <w:r>
        <w:rPr>
          <w:rFonts w:ascii="Arial" w:cs="Arial" w:eastAsia="Arial" w:hAnsi="Arial"/>
          <w:sz w:val="22"/>
          <w:szCs w:val="22"/>
        </w:rPr>
        <w:t xml:space="preserve">Quarterly progress reports were submitted late for Q3, Q4, Q5, and Q6 (the final report). Q6 was submitted 15 April 2026, 15 days after period of performance end.</w:t>
      </w:r>
    </w:p>
    <w:p>
      <w:pPr>
        <w:spacing w:after="60" w:before="60"/>
      </w:pPr>
      <w:r>
        <w:t xml:space="preserve"/>
      </w:r>
    </w:p>
    <w:p>
      <w:pPr>
        <w:spacing w:after="100" w:before="80"/>
      </w:pPr>
      <w:r>
        <w:rPr>
          <w:rFonts w:ascii="Arial" w:cs="Arial" w:eastAsia="Arial" w:hAnsi="Arial"/>
          <w:sz w:val="22"/>
          <w:szCs w:val="22"/>
        </w:rPr>
        <w:t xml:space="preserve">CDRL A012 (Test/Inspection Report) was submitted 14 April 2026, 14 days after the PoP end date. While the Government acknowledges that the re-test and Government disposition activity in March 2026 compressed the report preparation window, Meridian had six weeks of testing to draft preliminary report content and did not do so.</w:t>
      </w:r>
    </w:p>
    <w:p>
      <w:pPr>
        <w:spacing w:after="60" w:before="60"/>
      </w:pPr>
      <w:r>
        <w:t xml:space="preserve"/>
      </w:r>
    </w:p>
    <w:p>
      <w:pPr>
        <w:spacing w:after="100" w:before="80"/>
      </w:pPr>
      <w:r>
        <w:rPr>
          <w:rFonts w:ascii="Arial" w:cs="Arial" w:eastAsia="Arial" w:hAnsi="Arial"/>
          <w:sz w:val="22"/>
          <w:szCs w:val="22"/>
        </w:rPr>
        <w:t xml:space="preserve">The Quarterly Program Review proposed by the Government for November 2025 was never scheduled. The Government sent scheduling requests to the contractor on three occasions (09 October, 27 October, and 12 November 2025). Meridian's program manager acknowledged the requests but attributed the non-scheduling to capacity constraints during the integration phase. The Government considers this an unacceptable response; a 1-2 hour program review is a reasonable management overhead that should not be deferred during a critical program phase.</w:t>
      </w:r>
    </w:p>
    <w:p>
      <w:pPr>
        <w:spacing w:after="60" w:before="60"/>
      </w:pPr>
      <w:r>
        <w:t xml:space="preserve"/>
      </w:r>
    </w:p>
    <w:p>
      <w:pPr>
        <w:spacing w:after="100" w:before="80"/>
      </w:pPr>
      <w:r>
        <w:rPr>
          <w:rFonts w:ascii="Arial" w:cs="Arial" w:eastAsia="Arial" w:hAnsi="Arial"/>
          <w:sz w:val="22"/>
          <w:szCs w:val="22"/>
        </w:rPr>
        <w:t xml:space="preserve">On the positive side: the contractor's test team communications during acceptance testing were timely and professional. The deficiency response letter of 10 March 2026 was well-organized and technically substantive.</w:t>
      </w:r>
    </w:p>
    <w:p>
      <w:pPr>
        <w:pStyle w:val="Heading1"/>
        <w:pBdr>
          <w:bottom w:val="single" w:color="1C3557" w:sz="3" w:space="1"/>
        </w:pBdr>
        <w:spacing w:after="120" w:before="280"/>
      </w:pPr>
      <w:r>
        <w:rPr>
          <w:rFonts w:ascii="Arial" w:cs="Arial" w:eastAsia="Arial" w:hAnsi="Arial"/>
          <w:b/>
          <w:bCs/>
          <w:color w:val="1C3557"/>
          <w:sz w:val="26"/>
          <w:szCs w:val="26"/>
        </w:rPr>
        <w:t xml:space="preserve">6. Government Contribution to Schedule Delay</w:t>
      </w:r>
    </w:p>
    <w:p>
      <w:pPr>
        <w:spacing w:after="100" w:before="80"/>
      </w:pPr>
      <w:r>
        <w:rPr>
          <w:rFonts w:ascii="Arial" w:cs="Arial" w:eastAsia="Arial" w:hAnsi="Arial"/>
          <w:sz w:val="22"/>
          <w:szCs w:val="22"/>
        </w:rPr>
        <w:t xml:space="preserve">The Government formally acknowledges the following Government-caused contributing factors to program delay, in the interest of a complete and accurate record:</w:t>
      </w:r>
    </w:p>
    <w:p>
      <w:pPr>
        <w:spacing w:after="60" w:before="60"/>
      </w:pPr>
      <w:r>
        <w:t xml:space="preserve"/>
      </w:r>
    </w:p>
    <w:p>
      <w:pPr>
        <w:spacing w:after="100" w:before="80"/>
      </w:pPr>
      <w:r>
        <w:rPr>
          <w:rFonts w:ascii="Arial" w:cs="Arial" w:eastAsia="Arial" w:hAnsi="Arial"/>
          <w:sz w:val="22"/>
          <w:szCs w:val="22"/>
        </w:rPr>
        <w:t xml:space="preserve">(1) GFE JLTV delivery: The Government did not provide a confirmed GFE delivery date until October 2025, despite five written requests from Meridian beginning in Q1. The GFE was ultimately delivered 75 days after the Government's stated delivery date of 15 August 2025. This is a significant Government-caused delay.</w:t>
      </w:r>
    </w:p>
    <w:p>
      <w:pPr>
        <w:spacing w:after="60" w:before="60"/>
      </w:pPr>
      <w:r>
        <w:t xml:space="preserve"/>
      </w:r>
    </w:p>
    <w:p>
      <w:pPr>
        <w:spacing w:after="100" w:before="80"/>
      </w:pPr>
      <w:r>
        <w:rPr>
          <w:rFonts w:ascii="Arial" w:cs="Arial" w:eastAsia="Arial" w:hAnsi="Arial"/>
          <w:sz w:val="22"/>
          <w:szCs w:val="22"/>
        </w:rPr>
        <w:t xml:space="preserve">(2) CDR action item disposition: The Government did not issue disposition of the 14 CDR action items until 14 January 2026, approximately 54 days after Meridian submitted the complete package on 21 November 2025. Meridian sent follow-up requests on 09 December and 22 December 2025. The Government's review timeline contributed to the compressed test and closeout schedule.</w:t>
      </w:r>
    </w:p>
    <w:p>
      <w:pPr>
        <w:spacing w:after="60" w:before="60"/>
      </w:pPr>
      <w:r>
        <w:t xml:space="preserve"/>
      </w:r>
    </w:p>
    <w:p>
      <w:pPr>
        <w:spacing w:after="100" w:before="80"/>
      </w:pPr>
      <w:r>
        <w:rPr>
          <w:rFonts w:ascii="Arial" w:cs="Arial" w:eastAsia="Arial" w:hAnsi="Arial"/>
          <w:sz w:val="22"/>
          <w:szCs w:val="22"/>
        </w:rPr>
        <w:t xml:space="preserve">These factors have been weighed in the CPAR ratings and do not change the overall assessment but are documented for completeness and equity.</w:t>
      </w:r>
    </w:p>
    <w:p>
      <w:pPr>
        <w:pStyle w:val="Heading1"/>
        <w:pBdr>
          <w:bottom w:val="single" w:color="1C3557" w:sz="3" w:space="1"/>
        </w:pBdr>
        <w:spacing w:after="120" w:before="280"/>
      </w:pPr>
      <w:r>
        <w:rPr>
          <w:rFonts w:ascii="Arial" w:cs="Arial" w:eastAsia="Arial" w:hAnsi="Arial"/>
          <w:b/>
          <w:bCs/>
          <w:color w:val="1C3557"/>
          <w:sz w:val="26"/>
          <w:szCs w:val="26"/>
        </w:rPr>
        <w:t xml:space="preserve">7. Final Recommendation and Observations</w:t>
      </w:r>
    </w:p>
    <w:p>
      <w:pPr>
        <w:spacing w:after="100" w:before="80"/>
      </w:pPr>
      <w:r>
        <w:rPr>
          <w:rFonts w:ascii="Arial" w:cs="Arial" w:eastAsia="Arial" w:hAnsi="Arial"/>
          <w:sz w:val="22"/>
          <w:szCs w:val="22"/>
        </w:rPr>
        <w:t xml:space="preserve">The Government's recommendation of "Probably Would Not Award Again" reflects the totality of program performance. The contractor demonstrated genuine technical capability and produced a prototype that works and meets minimum requirements. These are real accomplishments.</w:t>
      </w:r>
    </w:p>
    <w:p>
      <w:pPr>
        <w:spacing w:after="60" w:before="60"/>
      </w:pPr>
      <w:r>
        <w:t xml:space="preserve"/>
      </w:r>
    </w:p>
    <w:p>
      <w:pPr>
        <w:spacing w:after="100" w:before="80"/>
      </w:pPr>
      <w:r>
        <w:rPr>
          <w:rFonts w:ascii="Arial" w:cs="Arial" w:eastAsia="Arial" w:hAnsi="Arial"/>
          <w:sz w:val="22"/>
          <w:szCs w:val="22"/>
        </w:rPr>
        <w:t xml:space="preserve">The performance pattern that drives the negative recommendation is not a single dramatic failure but an accumulation of management and communication behaviors that, on a more complex or higher-stakes program, would have produced significantly worse outcomes: a 4-month key personnel vacancy during the most analysis-intensive phase; a mechanical lead vacancy of 21 weeks; a CAR that required revision; a pattern of late CDRLs and missing risk reports; a Quarterly Program Review that was never held despite three scheduling requests; and a first acceptance test failure attributable to a calibration file management error.</w:t>
      </w:r>
    </w:p>
    <w:p>
      <w:pPr>
        <w:spacing w:after="60" w:before="60"/>
      </w:pPr>
      <w:r>
        <w:t xml:space="preserve"/>
      </w:r>
    </w:p>
    <w:p>
      <w:pPr>
        <w:spacing w:after="100" w:before="80"/>
      </w:pPr>
      <w:r>
        <w:rPr>
          <w:rFonts w:ascii="Arial" w:cs="Arial" w:eastAsia="Arial" w:hAnsi="Arial"/>
          <w:sz w:val="22"/>
          <w:szCs w:val="22"/>
        </w:rPr>
        <w:t xml:space="preserve">The Government does not doubt Meridian's technical competence. The question for future source selections is whether Meridian's program management practices have been corrected to the level required for programs of this type.</w:t>
      </w:r>
    </w:p>
    <w:p>
      <w:pPr>
        <w:spacing w:after="60" w:before="60"/>
      </w:pPr>
      <w:r>
        <w:t xml:space="preserve"/>
      </w:r>
    </w:p>
    <w:p>
      <w:pPr>
        <w:spacing w:after="100" w:before="80"/>
      </w:pPr>
      <w:r>
        <w:rPr>
          <w:rFonts w:ascii="Arial" w:cs="Arial" w:eastAsia="Arial" w:hAnsi="Arial"/>
          <w:sz w:val="22"/>
          <w:szCs w:val="22"/>
        </w:rPr>
        <w:t xml:space="preserve">Nicole Jacobs</w:t>
      </w:r>
    </w:p>
    <w:p>
      <w:pPr>
        <w:spacing w:after="100" w:before="80"/>
      </w:pPr>
      <w:r>
        <w:rPr>
          <w:rFonts w:ascii="Arial" w:cs="Arial" w:eastAsia="Arial" w:hAnsi="Arial"/>
          <w:sz w:val="22"/>
          <w:szCs w:val="22"/>
        </w:rPr>
        <w:t xml:space="preserve">Government PM/COR, NSWC Crane MXPQ</w:t>
      </w:r>
    </w:p>
    <w:p>
      <w:pPr>
        <w:spacing w:after="100" w:before="80"/>
      </w:pPr>
      <w:r>
        <w:rPr>
          <w:rFonts w:ascii="Arial" w:cs="Arial" w:eastAsia="Arial" w:hAnsi="Arial"/>
          <w:sz w:val="22"/>
          <w:szCs w:val="22"/>
        </w:rPr>
        <w:t xml:space="preserve">15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C3557"/>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B5F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2026-04-26T18:02:47.315Z</dcterms:created>
  <dcterms:modified xsi:type="dcterms:W3CDTF">2026-04-26T18:02:47.315Z</dcterms:modified>
</cp:coreProperties>
</file>

<file path=docProps/custom.xml><?xml version="1.0" encoding="utf-8"?>
<Properties xmlns="http://schemas.openxmlformats.org/officeDocument/2006/custom-properties" xmlns:vt="http://schemas.openxmlformats.org/officeDocument/2006/docPropsVTypes"/>
</file>