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ourier New" w:cs="Courier New" w:eastAsia="Courier New" w:hAnsi="Courier New"/>
          <w:b/>
          <w:bCs/>
          <w:caps/>
          <w:sz w:val="28"/>
          <w:szCs w:val="28"/>
        </w:rPr>
        <w:t xml:space="preserve">QUARTERLY PROGRESS REPORT — Q1</w:t>
      </w:r>
    </w:p>
    <w:p>
      <w:pPr>
        <w:spacing w:after="40" w:before="0"/>
        <w:jc w:val="center"/>
      </w:pPr>
      <w:r>
        <w:rPr>
          <w:rFonts w:ascii="Courier New" w:cs="Courier New" w:eastAsia="Courier New" w:hAnsi="Courier New"/>
          <w:sz w:val="22"/>
          <w:szCs w:val="22"/>
        </w:rPr>
        <w:t xml:space="preserve">01 October 2024 – 31 December 2024</w:t>
      </w:r>
    </w:p>
    <w:p>
      <w:pPr>
        <w:spacing w:after="40" w:before="0"/>
        <w:jc w:val="center"/>
      </w:pPr>
      <w:r>
        <w:rPr>
          <w:rFonts w:ascii="Courier New" w:cs="Courier New" w:eastAsia="Courier New" w:hAnsi="Courier New"/>
          <w:sz w:val="20"/>
          <w:szCs w:val="20"/>
        </w:rPr>
        <w:t xml:space="preserve">DO-0003 | JLTV Hybrid-Electric Drive Powertrain Prototype</w:t>
      </w:r>
    </w:p>
    <w:p>
      <w:pPr>
        <w:spacing w:after="200" w:before="0"/>
        <w:jc w:val="center"/>
      </w:pPr>
      <w:r>
        <w:rPr>
          <w:rFonts w:ascii="Courier New" w:cs="Courier New" w:eastAsia="Courier New" w:hAnsi="Courier New"/>
          <w:sz w:val="20"/>
          <w:szCs w:val="20"/>
        </w:rPr>
        <w:t xml:space="preserve">Meridian Drive Systems, LLC | Submitted: 17 January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1. Contract and Reporting Period Information</w:t>
      </w:r>
    </w:p>
    <w:p>
      <w:pPr>
        <w:spacing w:after="80" w:before="60"/>
      </w:pPr>
      <w:r>
        <w:rPr>
          <w:rFonts w:ascii="Courier New" w:cs="Courier New" w:eastAsia="Courier New" w:hAnsi="Courier New"/>
          <w:sz w:val="21"/>
          <w:szCs w:val="21"/>
        </w:rPr>
        <w:t xml:space="preserve">Contract Number: N0016426RMP01</w:t>
      </w:r>
    </w:p>
    <w:p>
      <w:pPr>
        <w:spacing w:after="80" w:before="60"/>
      </w:pPr>
      <w:r>
        <w:rPr>
          <w:rFonts w:ascii="Courier New" w:cs="Courier New" w:eastAsia="Courier New" w:hAnsi="Courier New"/>
          <w:sz w:val="21"/>
          <w:szCs w:val="21"/>
        </w:rPr>
        <w:t xml:space="preserve">Delivery Order: N00164-25-F-0003 (DO-0003)</w:t>
      </w:r>
    </w:p>
    <w:p>
      <w:pPr>
        <w:spacing w:after="80" w:before="60"/>
      </w:pPr>
      <w:r>
        <w:rPr>
          <w:rFonts w:ascii="Courier New" w:cs="Courier New" w:eastAsia="Courier New" w:hAnsi="Courier New"/>
          <w:sz w:val="21"/>
          <w:szCs w:val="21"/>
        </w:rPr>
        <w:t xml:space="preserve">DO Title: JLTV Hybrid-Electric Drive (HED) Powertrain Prototype</w:t>
      </w:r>
    </w:p>
    <w:p>
      <w:pPr>
        <w:spacing w:after="80" w:before="60"/>
      </w:pPr>
      <w:r>
        <w:rPr>
          <w:rFonts w:ascii="Courier New" w:cs="Courier New" w:eastAsia="Courier New" w:hAnsi="Courier New"/>
          <w:sz w:val="21"/>
          <w:szCs w:val="21"/>
        </w:rPr>
        <w:t xml:space="preserve">Contractor: Meridian Drive Systems, LLC</w:t>
      </w:r>
    </w:p>
    <w:p>
      <w:pPr>
        <w:spacing w:after="80" w:before="60"/>
      </w:pPr>
      <w:r>
        <w:rPr>
          <w:rFonts w:ascii="Courier New" w:cs="Courier New" w:eastAsia="Courier New" w:hAnsi="Courier New"/>
          <w:sz w:val="21"/>
          <w:szCs w:val="21"/>
        </w:rPr>
        <w:t xml:space="preserve">Principal Investigator / PM: Derek Wahl, P.E.</w:t>
      </w:r>
    </w:p>
    <w:p>
      <w:pPr>
        <w:spacing w:after="80" w:before="60"/>
      </w:pPr>
      <w:r>
        <w:rPr>
          <w:rFonts w:ascii="Courier New" w:cs="Courier New" w:eastAsia="Courier New" w:hAnsi="Courier New"/>
          <w:sz w:val="21"/>
          <w:szCs w:val="21"/>
        </w:rPr>
        <w:t xml:space="preserve">Government PM: Nicole Jacobs, NSWC Crane MXPQ</w:t>
      </w:r>
    </w:p>
    <w:p>
      <w:pPr>
        <w:spacing w:after="80" w:before="60"/>
      </w:pPr>
      <w:r>
        <w:rPr>
          <w:rFonts w:ascii="Courier New" w:cs="Courier New" w:eastAsia="Courier New" w:hAnsi="Courier New"/>
          <w:sz w:val="21"/>
          <w:szCs w:val="21"/>
        </w:rPr>
        <w:t xml:space="preserve">Report Period: 01 October 2024 – 31 December 2024</w:t>
      </w:r>
    </w:p>
    <w:p>
      <w:pPr>
        <w:spacing w:after="80" w:before="60"/>
      </w:pPr>
      <w:r>
        <w:rPr>
          <w:rFonts w:ascii="Courier New" w:cs="Courier New" w:eastAsia="Courier New" w:hAnsi="Courier New"/>
          <w:sz w:val="21"/>
          <w:szCs w:val="21"/>
        </w:rPr>
        <w:t xml:space="preserve">Submission Date: 17 January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2. Summary of Technical Progress</w:t>
      </w:r>
    </w:p>
    <w:p>
      <w:pPr>
        <w:spacing w:after="80" w:before="60"/>
      </w:pPr>
      <w:r>
        <w:rPr>
          <w:rFonts w:ascii="Courier New" w:cs="Courier New" w:eastAsia="Courier New" w:hAnsi="Courier New"/>
          <w:sz w:val="21"/>
          <w:szCs w:val="21"/>
        </w:rPr>
        <w:t xml:space="preserve">The first quarter of performance (Q1) was dedicated to contract startup activities, program planning, and initiation of concept design work. The Kickoff Meeting (KOM) was conducted on 22 October 2024 at NSWC Crane. Meridian Drive Systems presented the program overview, preliminary work breakdown structure, and draft integrated master schedule (IMS) for Government review. Government attendees included Nicole Jacobs (Government PM), representatives from MXPQ, and NSWC Crane Contracting. Action items from the KOM were documented and are being tracked internally.</w:t>
      </w:r>
    </w:p>
    <w:p>
      <w:pPr>
        <w:spacing w:after="40" w:before="40"/>
      </w:pPr>
      <w:r>
        <w:t xml:space="preserve"/>
      </w:r>
    </w:p>
    <w:p>
      <w:pPr>
        <w:spacing w:after="80" w:before="60"/>
      </w:pPr>
      <w:r>
        <w:rPr>
          <w:rFonts w:ascii="Courier New" w:cs="Courier New" w:eastAsia="Courier New" w:hAnsi="Courier New"/>
          <w:sz w:val="21"/>
          <w:szCs w:val="21"/>
        </w:rPr>
        <w:t xml:space="preserve">Following the KOM, the engineering team initiated concept design activities for the hybrid-electric drive system architecture. Three candidate architectures were evaluated during this period: (1) a parallel hybrid configuration using an integrated starter-generator (ISG) coupled to the existing JLTV drivetrain, (2) a series-parallel split configuration using a dedicated motor-generator set, and (3) a through-the-road (TTR) hybrid utilizing an electric rear axle drive. Trade study documentation is in preparation and will inform the PDR package.</w:t>
      </w:r>
    </w:p>
    <w:p>
      <w:pPr>
        <w:spacing w:after="40" w:before="40"/>
      </w:pPr>
      <w:r>
        <w:t xml:space="preserve"/>
      </w:r>
    </w:p>
    <w:p>
      <w:pPr>
        <w:spacing w:after="80" w:before="60"/>
      </w:pPr>
      <w:r>
        <w:rPr>
          <w:rFonts w:ascii="Courier New" w:cs="Courier New" w:eastAsia="Courier New" w:hAnsi="Courier New"/>
          <w:sz w:val="21"/>
          <w:szCs w:val="21"/>
        </w:rPr>
        <w:t xml:space="preserve">Procurement activities for long-lead components were initiated. Requests for quotation were issued to motor controller vendors. Subcontract negotiations with Advanced Torque Controls, Inc. (ATCI) for the motor controller assembly were initiated in November 2024. The subcontract agreement is under review by Meridian legal and is anticipated to be executed in Q2.</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3.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c>
          <w:tcPr>
            <w:tcW w:type="dxa" w:w="48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Milestone</w:t>
            </w:r>
          </w:p>
        </w:tc>
        <w:tc>
          <w:tcPr>
            <w:tcW w:type="dxa" w:w="24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Planned</w:t>
            </w:r>
          </w:p>
        </w:tc>
        <w:tc>
          <w:tcPr>
            <w:tcW w:type="dxa" w:w="216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Status / Actual</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Contract Award / KOM</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24 Sep / 15 Oct 2024</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KOM conducted 22 Oct 2024</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Concept Architecture Trade Study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30 Nov 2024</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In progress; draft 15 Jan 2025</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Long-Lead Procurement Initiated</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01 Nov 2024</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Initiated Nov 2024 (RFQs issued)</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Subcontract (ATCI) Executed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30 Nov 2024</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Under legal review; Q2 target</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PDR Package Submission</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15 Dec 2024</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Preparation ongoing; see Sec. 5</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PDR Conduct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10 Jan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Pending PDR package submission</w:t>
            </w:r>
          </w:p>
        </w:tc>
      </w:tr>
    </w:tbl>
    <w:p>
      <w:pPr>
        <w:spacing w:after="40" w:before="40"/>
      </w:pPr>
      <w:r>
        <w:t xml:space="preserve"/>
      </w:r>
    </w:p>
    <w:p>
      <w:pPr>
        <w:pStyle w:val="Heading1"/>
        <w:pBdr>
          <w:bottom w:val="single" w:color="1C3557" w:sz="2" w:space="1"/>
        </w:pBdr>
        <w:spacing w:after="100" w:before="280"/>
      </w:pPr>
      <w:r>
        <w:rPr>
          <w:rFonts w:ascii="Courier New" w:cs="Courier New" w:eastAsia="Courier New" w:hAnsi="Courier New"/>
          <w:b/>
          <w:bCs/>
          <w:caps/>
          <w:sz w:val="24"/>
          <w:szCs w:val="24"/>
        </w:rPr>
        <w:t xml:space="preserve">4. Staffing</w:t>
      </w:r>
    </w:p>
    <w:p>
      <w:pPr>
        <w:spacing w:after="80" w:before="60"/>
      </w:pPr>
      <w:r>
        <w:rPr>
          <w:rFonts w:ascii="Courier New" w:cs="Courier New" w:eastAsia="Courier New" w:hAnsi="Courier New"/>
          <w:sz w:val="21"/>
          <w:szCs w:val="21"/>
        </w:rPr>
        <w:t xml:space="preserve">Staffing at the end of Q1 is as follows. Derek Wahl (PM/Lead Systems Engineer) is fully engaged on the program. Dr. Alicia Rubin (Electrical/Powertrain Engineer) joined the program in November 2024 after completing transition from a predecessor program. Marcus Hendley (Mechanical Design Lead) was listed in the proposal as the primary mechanical engineer and is currently split between this effort and a separate internal program; full allocation is anticipated by Q2. The Motor Controls Engineer position, identified in the proposal staffing plan as a critical technical resource, has not yet been filled. Meridian is conducting external recruitment.</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5. Schedule Discussion</w:t>
      </w:r>
    </w:p>
    <w:p>
      <w:pPr>
        <w:spacing w:after="80" w:before="60"/>
      </w:pPr>
      <w:r>
        <w:rPr>
          <w:rFonts w:ascii="Courier New" w:cs="Courier New" w:eastAsia="Courier New" w:hAnsi="Courier New"/>
          <w:sz w:val="21"/>
          <w:szCs w:val="21"/>
        </w:rPr>
        <w:t xml:space="preserve">The PDR package submission, originally planned for 15 December 2024, was not completed during this reporting period. Internal review of the architecture trade study is continuing. The PDR package is in preparation and submission to the Government is anticipated in January 2025. The impact of this delay on the overall program schedule is being assessed; the PDR conduct date of 10 January 2025 will require adjustment. Meridian will provide an updated IMS to the Government COR upon PDR package submission.</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6. Risk and Issues</w:t>
      </w:r>
    </w:p>
    <w:p>
      <w:pPr>
        <w:spacing w:after="80" w:before="60"/>
      </w:pPr>
      <w:r>
        <w:rPr>
          <w:rFonts w:ascii="Courier New" w:cs="Courier New" w:eastAsia="Courier New" w:hAnsi="Courier New"/>
          <w:sz w:val="21"/>
          <w:szCs w:val="21"/>
        </w:rPr>
        <w:t xml:space="preserve">Three risks are active on the program risk register.</w:t>
      </w:r>
    </w:p>
    <w:p>
      <w:pPr>
        <w:spacing w:after="40" w:before="40"/>
      </w:pPr>
      <w:r>
        <w:t xml:space="preserve"/>
      </w:r>
    </w:p>
    <w:p>
      <w:pPr>
        <w:spacing w:after="80" w:before="60"/>
      </w:pPr>
      <w:r>
        <w:rPr>
          <w:rFonts w:ascii="Courier New" w:cs="Courier New" w:eastAsia="Courier New" w:hAnsi="Courier New"/>
          <w:sz w:val="21"/>
          <w:szCs w:val="21"/>
        </w:rPr>
        <w:t xml:space="preserve">Risk 1 (Likelihood: Medium / Impact: Medium): Subcontract execution with ATCI delayed beyond Q2 could affect motor controller design integration and CDR readiness. Mitigation: Meridian is working to resolve outstanding terms with ATCI and has identified one alternate source.</w:t>
      </w:r>
    </w:p>
    <w:p>
      <w:pPr>
        <w:spacing w:after="40" w:before="40"/>
      </w:pPr>
      <w:r>
        <w:t xml:space="preserve"/>
      </w:r>
    </w:p>
    <w:p>
      <w:pPr>
        <w:spacing w:after="80" w:before="60"/>
      </w:pPr>
      <w:r>
        <w:rPr>
          <w:rFonts w:ascii="Courier New" w:cs="Courier New" w:eastAsia="Courier New" w:hAnsi="Courier New"/>
          <w:sz w:val="21"/>
          <w:szCs w:val="21"/>
        </w:rPr>
        <w:t xml:space="preserve">Risk 2 (Likelihood: Medium / Impact: Medium): Motor Controls Engineer position remains vacant. Recruitment activity is underway; a candidate has been identified and is in the offer stage as of late December 2024.</w:t>
      </w:r>
    </w:p>
    <w:p>
      <w:pPr>
        <w:spacing w:after="40" w:before="40"/>
      </w:pPr>
      <w:r>
        <w:t xml:space="preserve"/>
      </w:r>
    </w:p>
    <w:p>
      <w:pPr>
        <w:spacing w:after="80" w:before="60"/>
      </w:pPr>
      <w:r>
        <w:rPr>
          <w:rFonts w:ascii="Courier New" w:cs="Courier New" w:eastAsia="Courier New" w:hAnsi="Courier New"/>
          <w:sz w:val="21"/>
          <w:szCs w:val="21"/>
        </w:rPr>
        <w:t xml:space="preserve">Risk 3 (Likelihood: Low / Impact: Medium): GFE JLTV delivery schedule from the Government has not been confirmed. Meridian requests confirmation of the GFE delivery date to ensure integration planning can proceed.</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7. Meetings, Travel, and Correspondence</w:t>
      </w:r>
    </w:p>
    <w:p>
      <w:pPr>
        <w:spacing w:after="80" w:before="60"/>
      </w:pPr>
      <w:r>
        <w:rPr>
          <w:rFonts w:ascii="Courier New" w:cs="Courier New" w:eastAsia="Courier New" w:hAnsi="Courier New"/>
          <w:sz w:val="21"/>
          <w:szCs w:val="21"/>
        </w:rPr>
        <w:t xml:space="preserve">Kickoff Meeting: NSWC Crane, 22 October 2024. Attendees: Derek Wahl, Dr. Alicia Rubin (Meridian); Nicole Jacobs, MXPQ technical staff (Government). Meeting minutes were distributed by Meridian on 05 November 2024.</w:t>
      </w:r>
    </w:p>
    <w:p>
      <w:pPr>
        <w:spacing w:after="40" w:before="40"/>
      </w:pPr>
      <w:r>
        <w:t xml:space="preserve"/>
      </w:r>
    </w:p>
    <w:p>
      <w:pPr>
        <w:spacing w:after="80" w:before="60"/>
      </w:pPr>
      <w:r>
        <w:rPr>
          <w:rFonts w:ascii="Courier New" w:cs="Courier New" w:eastAsia="Courier New" w:hAnsi="Courier New"/>
          <w:sz w:val="21"/>
          <w:szCs w:val="21"/>
        </w:rPr>
        <w:t xml:space="preserve">Technical Interchange Meeting (TIM) tentatively scheduled for January 2025 to review architecture trade study results prior to PDR.</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8. Plans for Next Quarter</w:t>
      </w:r>
    </w:p>
    <w:p>
      <w:pPr>
        <w:spacing w:after="80" w:before="60"/>
      </w:pPr>
      <w:r>
        <w:rPr>
          <w:rFonts w:ascii="Courier New" w:cs="Courier New" w:eastAsia="Courier New" w:hAnsi="Courier New"/>
          <w:sz w:val="21"/>
          <w:szCs w:val="21"/>
        </w:rPr>
        <w:t xml:space="preserve">Q2 activities will focus on: completion and submission of the PDR package, conduct of PDR (with Government), execution of the ATCI subcontract, onboarding of the Motor Controls Engineer, and initiation of detailed design activities following PDR approval. The updated IMS will be provided to the Government COR with the PDR package.</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Fiscal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Item</w:t>
            </w:r>
          </w:p>
        </w:tc>
        <w:tc>
          <w:tcPr>
            <w:tcW w:type="dxa" w:w="432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Amount</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Expenditures This Quarter</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$187,440.00</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Total Expenditures to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$187,440.00</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DO Ceiling (FFP)</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$3,184,500.00</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 of Ceiling Expended to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5.9%</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Estimated Cost to Complete</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$2,997,060.00</w:t>
            </w:r>
          </w:p>
        </w:tc>
      </w:tr>
    </w:tbl>
    <w:p>
      <w:pPr>
        <w:spacing w:after="40" w:before="40"/>
      </w:pPr>
      <w:r>
        <w:t xml:space="preserve"/>
      </w:r>
    </w:p>
    <w:p>
      <w:pPr>
        <w:spacing w:before="240"/>
        <w:jc w:val="center"/>
      </w:pPr>
      <w:r>
        <w:rPr>
          <w:rFonts w:ascii="Courier New" w:cs="Courier New" w:eastAsia="Courier New" w:hAnsi="Courier New"/>
          <w:color w:val="888888"/>
          <w:sz w:val="19"/>
          <w:szCs w:val="19"/>
        </w:rPr>
        <w:t xml:space="preserve">--- END OF QUARTERLY PROGRESS REPORT Q1 ---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ourier New" w:cs="Courier New" w:eastAsia="Courier New" w:hAnsi="Courier New"/>
      <w:b/>
      <w:bCs/>
      <w:sz w:val="24"/>
      <w:szCs w:val="24"/>
    </w:rPr>
  </w:style>
  <w:style w:type="paragraph" w:styleId="Heading2">
    <w:name w:val="Heading 2"/>
    <w:basedOn w:val="Normal"/>
    <w:next w:val="Normal"/>
    <w:qFormat/>
    <w:pPr>
      <w:spacing w:after="60" w:before="180"/>
      <w:outlineLvl w:val="1"/>
    </w:pPr>
    <w:rPr>
      <w:rFonts w:ascii="Courier New" w:cs="Courier New" w:eastAsia="Courier New" w:hAnsi="Courier New"/>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2026-04-26T17:59:06.802Z</dcterms:created>
  <dcterms:modified xsi:type="dcterms:W3CDTF">2026-04-26T17:59:06.802Z</dcterms:modified>
</cp:coreProperties>
</file>

<file path=docProps/custom.xml><?xml version="1.0" encoding="utf-8"?>
<Properties xmlns="http://schemas.openxmlformats.org/officeDocument/2006/custom-properties" xmlns:vt="http://schemas.openxmlformats.org/officeDocument/2006/docPropsVTypes"/>
</file>