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urier New" w:cs="Courier New" w:eastAsia="Courier New" w:hAnsi="Courier New"/>
          <w:b/>
          <w:bCs/>
          <w:caps/>
          <w:sz w:val="28"/>
          <w:szCs w:val="28"/>
        </w:rPr>
        <w:t xml:space="preserve">QUARTERLY PROGRESS REPORT — Q4</w:t>
      </w:r>
    </w:p>
    <w:p>
      <w:pPr>
        <w:spacing w:after="40" w:before="0"/>
        <w:jc w:val="center"/>
      </w:pPr>
      <w:r>
        <w:rPr>
          <w:rFonts w:ascii="Courier New" w:cs="Courier New" w:eastAsia="Courier New" w:hAnsi="Courier New"/>
          <w:sz w:val="22"/>
          <w:szCs w:val="22"/>
        </w:rPr>
        <w:t xml:space="preserve">01 July 2025 – 30 September 2025</w:t>
      </w:r>
    </w:p>
    <w:p>
      <w:pPr>
        <w:spacing w:after="40" w:before="0"/>
        <w:jc w:val="center"/>
      </w:pPr>
      <w:r>
        <w:rPr>
          <w:rFonts w:ascii="Courier New" w:cs="Courier New" w:eastAsia="Courier New" w:hAnsi="Courier New"/>
          <w:sz w:val="20"/>
          <w:szCs w:val="20"/>
        </w:rPr>
        <w:t xml:space="preserve">DO-0003 | JLTV Hybrid-Electric Drive Powertrain Prototype</w:t>
      </w:r>
    </w:p>
    <w:p>
      <w:pPr>
        <w:spacing w:after="200" w:before="0"/>
        <w:jc w:val="center"/>
      </w:pPr>
      <w:r>
        <w:rPr>
          <w:rFonts w:ascii="Courier New" w:cs="Courier New" w:eastAsia="Courier New" w:hAnsi="Courier New"/>
          <w:sz w:val="20"/>
          <w:szCs w:val="20"/>
        </w:rPr>
        <w:t xml:space="preserve">Meridian Drive Systems, LLC | Submitted: 20 October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1. Contract and Reporting Period Information</w:t>
      </w:r>
    </w:p>
    <w:p>
      <w:pPr>
        <w:spacing w:after="80" w:before="60"/>
      </w:pPr>
      <w:r>
        <w:rPr>
          <w:rFonts w:ascii="Courier New" w:cs="Courier New" w:eastAsia="Courier New" w:hAnsi="Courier New"/>
          <w:sz w:val="21"/>
          <w:szCs w:val="21"/>
        </w:rPr>
        <w:t xml:space="preserve">Contract Number: N0016426RMP01</w:t>
      </w:r>
    </w:p>
    <w:p>
      <w:pPr>
        <w:spacing w:after="80" w:before="60"/>
      </w:pPr>
      <w:r>
        <w:rPr>
          <w:rFonts w:ascii="Courier New" w:cs="Courier New" w:eastAsia="Courier New" w:hAnsi="Courier New"/>
          <w:sz w:val="21"/>
          <w:szCs w:val="21"/>
        </w:rPr>
        <w:t xml:space="preserve">Delivery Order: N00164-25-F-0003 (DO-0003)</w:t>
      </w:r>
    </w:p>
    <w:p>
      <w:pPr>
        <w:spacing w:after="80" w:before="60"/>
      </w:pPr>
      <w:r>
        <w:rPr>
          <w:rFonts w:ascii="Courier New" w:cs="Courier New" w:eastAsia="Courier New" w:hAnsi="Courier New"/>
          <w:sz w:val="21"/>
          <w:szCs w:val="21"/>
        </w:rPr>
        <w:t xml:space="preserve">Report Period: 01 July 2025 – 30 September 2025</w:t>
      </w:r>
    </w:p>
    <w:p>
      <w:pPr>
        <w:spacing w:after="80" w:before="60"/>
      </w:pPr>
      <w:r>
        <w:rPr>
          <w:rFonts w:ascii="Courier New" w:cs="Courier New" w:eastAsia="Courier New" w:hAnsi="Courier New"/>
          <w:sz w:val="21"/>
          <w:szCs w:val="21"/>
        </w:rPr>
        <w:t xml:space="preserve">Submission Date: 20 October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2. Summary of Technical Progress</w:t>
      </w:r>
    </w:p>
    <w:p>
      <w:pPr>
        <w:spacing w:after="80" w:before="60"/>
      </w:pPr>
      <w:r>
        <w:rPr>
          <w:rFonts w:ascii="Courier New" w:cs="Courier New" w:eastAsia="Courier New" w:hAnsi="Courier New"/>
          <w:sz w:val="21"/>
          <w:szCs w:val="21"/>
        </w:rPr>
        <w:t xml:space="preserve">The Critical Design Review was conducted on 08 July 2025 via video teleconference. Meridian presented the complete HED system design including updated thermal management analysis, revised torque margin substantiation, motor controller interface documentation, and high-voltage wiring harness design. Government reviewers identified 14 open action items at CDR close. The Government issued conditional CDR acceptance on 29 July 2025 with the requirement that all 14 action items be resolved prior to prototype acceptance testing. CDR action items address: (1) updated thermal rejection compliance analysis with revised boundary conditions, (2) revision to the torque output analysis to address Government-identified margin reduction at elevated temperature, (3) clarification of the JLTV chassis electrical bus interface protection scheme, and (4) documentation of ATCI motor controller qualification status. Meridian's responses to CDR action items are in progress.</w:t>
      </w:r>
    </w:p>
    <w:p>
      <w:pPr>
        <w:spacing w:after="40" w:before="40"/>
      </w:pPr>
      <w:r>
        <w:t xml:space="preserve"/>
      </w:r>
    </w:p>
    <w:p>
      <w:pPr>
        <w:spacing w:after="80" w:before="60"/>
      </w:pPr>
      <w:r>
        <w:rPr>
          <w:rFonts w:ascii="Courier New" w:cs="Courier New" w:eastAsia="Courier New" w:hAnsi="Courier New"/>
          <w:sz w:val="21"/>
          <w:szCs w:val="21"/>
        </w:rPr>
        <w:t xml:space="preserve">Fabrication of the mechanical integration components (mounting brackets, frame adapters, driveshaft coupling) was substantially completed during Q4. The high-voltage wiring harness fabrication was completed by an Meridian-qualified harness shop and delivered to the facility on 22 August 2025.</w:t>
      </w:r>
    </w:p>
    <w:p>
      <w:pPr>
        <w:spacing w:after="40" w:before="40"/>
      </w:pPr>
      <w:r>
        <w:t xml:space="preserve"/>
      </w:r>
    </w:p>
    <w:p>
      <w:pPr>
        <w:spacing w:after="80" w:before="60"/>
      </w:pPr>
      <w:r>
        <w:rPr>
          <w:rFonts w:ascii="Courier New" w:cs="Courier New" w:eastAsia="Courier New" w:hAnsi="Courier New"/>
          <w:sz w:val="21"/>
          <w:szCs w:val="21"/>
        </w:rPr>
        <w:t xml:space="preserve">ATCI delivered the motor controller hardware on 11 September 2025, approximately 3 days ahead of the projected delivery date. Incoming inspection was completed on 18 September 2025 with no discrepancies noted.</w:t>
      </w:r>
    </w:p>
    <w:p>
      <w:pPr>
        <w:spacing w:after="40" w:before="40"/>
      </w:pPr>
      <w:r>
        <w:t xml:space="preserve"/>
      </w:r>
    </w:p>
    <w:p>
      <w:pPr>
        <w:spacing w:after="80" w:before="60"/>
      </w:pPr>
      <w:r>
        <w:rPr>
          <w:rFonts w:ascii="Courier New" w:cs="Courier New" w:eastAsia="Courier New" w:hAnsi="Courier New"/>
          <w:sz w:val="21"/>
          <w:szCs w:val="21"/>
        </w:rPr>
        <w:t xml:space="preserve">Prototype integration activities commenced on 22 September 2025 with installation of the mechanical mounting structure onto the build fixture. The GFE JLTV has not yet been received; integration work is proceeding on bench fixtures pending GFE arrival.</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Milestone</w:t>
            </w:r>
          </w:p>
        </w:tc>
        <w:tc>
          <w:tcPr>
            <w:tcW w:type="dxa" w:w="24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Planned</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Status / Actual</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 Conduct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06 May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Conducted 08 Jul 2025 (63 days late)</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CDR Action Items Transmitted (Govt)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22 Jul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Issued 29 Jul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 Conditional Acceptance (Govt)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29 Jul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Received 29 Jul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CDR Action Item Responses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19 Aug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In progress; partial responses submitted 05 Sep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ATCI Motor Controller Delivery</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~08 Sep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Received 11 Sep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GFE JLTV Delivery (Govt)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Aug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Not received as of 30 Sep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Integration Start (bench fixtures)</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01 Aug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Started 22 Sep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Test Plan Submission (CDRL A011)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15 Aug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Draft in preparation</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Prototype Delivery</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01 Nov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Under assessment; revised IMS to follow</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4. Staffing</w:t>
      </w:r>
    </w:p>
    <w:p>
      <w:pPr>
        <w:spacing w:after="80" w:before="60"/>
      </w:pPr>
      <w:r>
        <w:rPr>
          <w:rFonts w:ascii="Courier New" w:cs="Courier New" w:eastAsia="Courier New" w:hAnsi="Courier New"/>
          <w:sz w:val="21"/>
          <w:szCs w:val="21"/>
        </w:rPr>
        <w:t xml:space="preserve">Derek Wahl (PM), Dr. Alicia Rubin (Electrical Lead), and Thomas Hess (Motor Controls Engineer) remain engaged at full allocation. The Mechanical Design Lead position has not yet been filled. Mechanical integration tasks are being performed by Wahl and two fabrication technicians. Meridian is continuing recruitment and has a candidate under consideration.</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5. Schedule Discussion</w:t>
      </w:r>
    </w:p>
    <w:p>
      <w:pPr>
        <w:spacing w:after="80" w:before="60"/>
      </w:pPr>
      <w:r>
        <w:rPr>
          <w:rFonts w:ascii="Courier New" w:cs="Courier New" w:eastAsia="Courier New" w:hAnsi="Courier New"/>
          <w:sz w:val="21"/>
          <w:szCs w:val="21"/>
        </w:rPr>
        <w:t xml:space="preserve">Meridian provided a revised IMS to the Government COR on 18 August 2025. The revised schedule reflects the CDR delay and ATCI hardware lead time and shows a prototype delivery date of 15 December 2025, approximately 44 days later than the original plan of 01 November 2025. The Government has not yet formally responded to the revised IMS.</w:t>
      </w:r>
    </w:p>
    <w:p>
      <w:pPr>
        <w:spacing w:after="40" w:before="40"/>
      </w:pPr>
      <w:r>
        <w:t xml:space="preserve"/>
      </w:r>
    </w:p>
    <w:p>
      <w:pPr>
        <w:spacing w:after="80" w:before="60"/>
      </w:pPr>
      <w:r>
        <w:rPr>
          <w:rFonts w:ascii="Courier New" w:cs="Courier New" w:eastAsia="Courier New" w:hAnsi="Courier New"/>
          <w:sz w:val="21"/>
          <w:szCs w:val="21"/>
        </w:rPr>
        <w:t xml:space="preserve">The GFE JLTV has not been received as of the end of Q3. Meridian's integration plan assumes GFE arrival no later than 15 October 2025 to support the revised delivery schedule. Any further delay in GFE delivery will require additional schedule adjustment.</w:t>
      </w:r>
    </w:p>
    <w:p>
      <w:pPr>
        <w:spacing w:after="40" w:before="40"/>
      </w:pPr>
      <w:r>
        <w:t xml:space="preserve"/>
      </w:r>
    </w:p>
    <w:p>
      <w:pPr>
        <w:spacing w:after="80" w:before="60"/>
      </w:pPr>
      <w:r>
        <w:rPr>
          <w:rFonts w:ascii="Courier New" w:cs="Courier New" w:eastAsia="Courier New" w:hAnsi="Courier New"/>
          <w:sz w:val="21"/>
          <w:szCs w:val="21"/>
        </w:rPr>
        <w:t xml:space="preserve">The Test Plan (CDRL A011) is in preparation. Submission to the Government is anticipated by 31 October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6. Risk and Issues</w:t>
      </w:r>
    </w:p>
    <w:p>
      <w:pPr>
        <w:spacing w:after="80" w:before="60"/>
      </w:pPr>
      <w:r>
        <w:rPr>
          <w:rFonts w:ascii="Courier New" w:cs="Courier New" w:eastAsia="Courier New" w:hAnsi="Courier New"/>
          <w:sz w:val="21"/>
          <w:szCs w:val="21"/>
        </w:rPr>
        <w:t xml:space="preserve">Risk 3 (GFE JLTV - OPEN): GFE not received as of 30 September 2025. This is now on the critical path.</w:t>
      </w:r>
    </w:p>
    <w:p>
      <w:pPr>
        <w:spacing w:after="40" w:before="40"/>
      </w:pPr>
      <w:r>
        <w:t xml:space="preserve"/>
      </w:r>
    </w:p>
    <w:p>
      <w:pPr>
        <w:spacing w:after="80" w:before="60"/>
      </w:pPr>
      <w:r>
        <w:rPr>
          <w:rFonts w:ascii="Courier New" w:cs="Courier New" w:eastAsia="Courier New" w:hAnsi="Courier New"/>
          <w:sz w:val="21"/>
          <w:szCs w:val="21"/>
        </w:rPr>
        <w:t xml:space="preserve">Risk 6 (Mechanical Lead vacancy - OPEN): Position not yet filled. Workaround is in place.</w:t>
      </w:r>
    </w:p>
    <w:p>
      <w:pPr>
        <w:spacing w:after="40" w:before="40"/>
      </w:pPr>
      <w:r>
        <w:t xml:space="preserve"/>
      </w:r>
    </w:p>
    <w:p>
      <w:pPr>
        <w:spacing w:after="80" w:before="60"/>
      </w:pPr>
      <w:r>
        <w:rPr>
          <w:rFonts w:ascii="Courier New" w:cs="Courier New" w:eastAsia="Courier New" w:hAnsi="Courier New"/>
          <w:sz w:val="21"/>
          <w:szCs w:val="21"/>
        </w:rPr>
        <w:t xml:space="preserve">Risk 8 (NEW, Likelihood: Medium / Impact: High): CDR action items remain partially open. Government conditional CDR acceptance requires all 14 items resolved before acceptance testing. Items related to thermal management and torque margin are technically complex and require additional analysis time.</w:t>
      </w:r>
    </w:p>
    <w:p>
      <w:pPr>
        <w:spacing w:after="40" w:before="40"/>
      </w:pPr>
      <w:r>
        <w:t xml:space="preserve"/>
      </w:r>
    </w:p>
    <w:p>
      <w:pPr>
        <w:spacing w:after="80" w:before="60"/>
      </w:pPr>
      <w:r>
        <w:rPr>
          <w:rFonts w:ascii="Courier New" w:cs="Courier New" w:eastAsia="Courier New" w:hAnsi="Courier New"/>
          <w:sz w:val="21"/>
          <w:szCs w:val="21"/>
        </w:rPr>
        <w:t xml:space="preserve">Risk 9 (NEW, Likelihood: Medium / Impact: Medium): Prototype delivery date of 15 December 2025 (revised) is 44 days behind the original plan of 01 November 2025. Further schedule compression is unlikely given remaining scope.</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7. Meetings, Travel, and Correspondence</w:t>
      </w:r>
    </w:p>
    <w:p>
      <w:pPr>
        <w:spacing w:after="80" w:before="60"/>
      </w:pPr>
      <w:r>
        <w:rPr>
          <w:rFonts w:ascii="Courier New" w:cs="Courier New" w:eastAsia="Courier New" w:hAnsi="Courier New"/>
          <w:sz w:val="21"/>
          <w:szCs w:val="21"/>
        </w:rPr>
        <w:t xml:space="preserve">CDR: 08 July 2025, VTC. Full engineering teams both sides.</w:t>
      </w:r>
    </w:p>
    <w:p>
      <w:pPr>
        <w:spacing w:after="40" w:before="40"/>
      </w:pPr>
      <w:r>
        <w:t xml:space="preserve"/>
      </w:r>
    </w:p>
    <w:p>
      <w:pPr>
        <w:spacing w:after="80" w:before="60"/>
      </w:pPr>
      <w:r>
        <w:rPr>
          <w:rFonts w:ascii="Courier New" w:cs="Courier New" w:eastAsia="Courier New" w:hAnsi="Courier New"/>
          <w:sz w:val="21"/>
          <w:szCs w:val="21"/>
        </w:rPr>
        <w:t xml:space="preserve">CDR Conditional Acceptance: Government correspondence 29 July 2025.</w:t>
      </w:r>
    </w:p>
    <w:p>
      <w:pPr>
        <w:spacing w:after="40" w:before="40"/>
      </w:pPr>
      <w:r>
        <w:t xml:space="preserve"/>
      </w:r>
    </w:p>
    <w:p>
      <w:pPr>
        <w:spacing w:after="80" w:before="60"/>
      </w:pPr>
      <w:r>
        <w:rPr>
          <w:rFonts w:ascii="Courier New" w:cs="Courier New" w:eastAsia="Courier New" w:hAnsi="Courier New"/>
          <w:sz w:val="21"/>
          <w:szCs w:val="21"/>
        </w:rPr>
        <w:t xml:space="preserve">Revised IMS submitted to Government COR: 18 August 2025. Meridian awaiting Government acknowledgment.</w:t>
      </w:r>
    </w:p>
    <w:p>
      <w:pPr>
        <w:spacing w:after="40" w:before="40"/>
      </w:pPr>
      <w:r>
        <w:t xml:space="preserve"/>
      </w:r>
    </w:p>
    <w:p>
      <w:pPr>
        <w:spacing w:after="80" w:before="60"/>
      </w:pPr>
      <w:r>
        <w:rPr>
          <w:rFonts w:ascii="Courier New" w:cs="Courier New" w:eastAsia="Courier New" w:hAnsi="Courier New"/>
          <w:sz w:val="21"/>
          <w:szCs w:val="21"/>
        </w:rPr>
        <w:t xml:space="preserve">Note: Meridian sent follow-up emails regarding GFE JLTV delivery status on 14 July, 01 August, and 05 September 2025. No confirmed delivery date has been received as of this report.</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8. Plans for Next Quarter</w:t>
      </w:r>
    </w:p>
    <w:p>
      <w:pPr>
        <w:spacing w:after="80" w:before="60"/>
      </w:pPr>
      <w:r>
        <w:rPr>
          <w:rFonts w:ascii="Courier New" w:cs="Courier New" w:eastAsia="Courier New" w:hAnsi="Courier New"/>
          <w:sz w:val="21"/>
          <w:szCs w:val="21"/>
        </w:rPr>
        <w:t xml:space="preserve">Q5 priorities: receive GFE JLTV and begin vehicle integration; complete CDR action item resolution and submit to Government; complete Test Plan and submit CDRL A011; advance prototype integration to completion; prepare for acceptance testing. Meridian will provide updated schedule assessment in Q5 report.</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Fiscal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Item</w:t>
            </w:r>
          </w:p>
        </w:tc>
        <w:tc>
          <w:tcPr>
            <w:tcW w:type="dxa" w:w="43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Amount</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Expenditures This Quarter</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$612,180.00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Total Expenditures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$1,670,140.00</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DO Ceiling (FFP)</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$3,184,500.00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 of Ceiling Expended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52.5%</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Estimated Cost to Complete</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$1,514,360.00</w:t>
            </w:r>
          </w:p>
        </w:tc>
      </w:tr>
    </w:tbl>
    <w:p>
      <w:pPr>
        <w:spacing w:after="40" w:before="40"/>
      </w:pPr>
      <w:r>
        <w:t xml:space="preserve"/>
      </w:r>
    </w:p>
    <w:p>
      <w:pPr>
        <w:spacing w:before="240"/>
        <w:jc w:val="center"/>
      </w:pPr>
      <w:r>
        <w:rPr>
          <w:rFonts w:ascii="Courier New" w:cs="Courier New" w:eastAsia="Courier New" w:hAnsi="Courier New"/>
          <w:color w:val="888888"/>
          <w:sz w:val="19"/>
          <w:szCs w:val="19"/>
        </w:rPr>
        <w:t xml:space="preserve">--- END OF QUARTERLY PROGRESS REPORT Q4 ---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ourier New" w:cs="Courier New" w:eastAsia="Courier New" w:hAnsi="Courier New"/>
      <w:b/>
      <w:bCs/>
      <w:sz w:val="24"/>
      <w:szCs w:val="24"/>
    </w:rPr>
  </w:style>
  <w:style w:type="paragraph" w:styleId="Heading2">
    <w:name w:val="Heading 2"/>
    <w:basedOn w:val="Normal"/>
    <w:next w:val="Normal"/>
    <w:qFormat/>
    <w:pPr>
      <w:spacing w:after="60" w:before="180"/>
      <w:outlineLvl w:val="1"/>
    </w:pPr>
    <w:rPr>
      <w:rFonts w:ascii="Courier New" w:cs="Courier New" w:eastAsia="Courier New" w:hAnsi="Courier New"/>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2026-04-26T17:59:07.010Z</dcterms:created>
  <dcterms:modified xsi:type="dcterms:W3CDTF">2026-04-26T17:59:07.010Z</dcterms:modified>
</cp:coreProperties>
</file>

<file path=docProps/custom.xml><?xml version="1.0" encoding="utf-8"?>
<Properties xmlns="http://schemas.openxmlformats.org/officeDocument/2006/custom-properties" xmlns:vt="http://schemas.openxmlformats.org/officeDocument/2006/docPropsVTypes"/>
</file>