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03366"/>
          <w:sz w:val="30"/>
          <w:szCs w:val="30"/>
        </w:rPr>
        <w:t xml:space="preserve">NAVAL RESEARCH LABORATORY</w:t>
      </w:r>
    </w:p>
    <w:p>
      <w:pPr>
        <w:spacing w:after="60" w:before="0"/>
        <w:jc w:val="center"/>
      </w:pPr>
      <w:r>
        <w:rPr>
          <w:rFonts w:ascii="Arial" w:cs="Arial" w:eastAsia="Arial" w:hAnsi="Arial"/>
          <w:color w:val="555555"/>
          <w:sz w:val="20"/>
          <w:szCs w:val="20"/>
        </w:rPr>
        <w:t xml:space="preserve">NRL Code 5009  |  4555 Overlook Ave SW, Washington DC 20375</w:t>
      </w:r>
    </w:p>
    <w:p>
      <w:pPr>
        <w:pBdr>
          <w:bottom w:val="single" w:color="003366" w:sz="4" w:space="1"/>
        </w:pBdr>
        <w:spacing w:after="200" w:before="0"/>
        <w:jc w:val="center"/>
      </w:pPr>
      <w:r>
        <w:rPr>
          <w:rFonts w:ascii="Arial" w:cs="Arial" w:eastAsia="Arial" w:hAnsi="Arial"/>
          <w:color w:val="555555"/>
          <w:sz w:val="20"/>
          <w:szCs w:val="20"/>
        </w:rPr>
        <w:t xml:space="preserve">Department of the Navy  |  Department of War</w:t>
      </w:r>
    </w:p>
    <w:p>
      <w:pPr>
        <w:spacing w:after="60" w:before="60"/>
      </w:pPr>
      <w:r>
        <w:t xml:space="preserve"/>
      </w:r>
    </w:p>
    <w:p>
      <w:pPr>
        <w:spacing w:after="60" w:before="0"/>
        <w:jc w:val="center"/>
      </w:pPr>
      <w:r>
        <w:rPr>
          <w:rFonts w:ascii="Arial" w:cs="Arial" w:eastAsia="Arial" w:hAnsi="Arial"/>
          <w:b/>
          <w:bCs/>
          <w:color w:val="003366"/>
          <w:sz w:val="30"/>
          <w:szCs w:val="30"/>
        </w:rPr>
        <w:t xml:space="preserve">GOVERNMENT PERFORMANCE NARRATIVE REPORT</w:t>
      </w:r>
    </w:p>
    <w:p>
      <w:pPr>
        <w:spacing w:after="240" w:before="0"/>
        <w:jc w:val="center"/>
      </w:pPr>
      <w:r>
        <w:rPr>
          <w:rFonts w:ascii="Arial" w:cs="Arial" w:eastAsia="Arial" w:hAnsi="Arial"/>
          <w:color w:val="444444"/>
          <w:sz w:val="22"/>
          <w:szCs w:val="22"/>
        </w:rPr>
        <w:t xml:space="preserve">Post-Demonstration Assessment — Report 1 of 1 (In Progress)</w:t>
      </w:r>
    </w:p>
    <w:p>
      <w:pPr>
        <w:pStyle w:val="Heading1"/>
        <w:pBdr>
          <w:bottom w:val="single" w:color="003366" w:sz="3" w:space="1"/>
        </w:pBdr>
        <w:spacing w:after="120" w:before="280"/>
      </w:pPr>
      <w:r>
        <w:rPr>
          <w:rFonts w:ascii="Arial" w:cs="Arial" w:eastAsia="Arial" w:hAnsi="Arial"/>
          <w:b/>
          <w:bCs/>
          <w:color w:val="003366"/>
          <w:sz w:val="26"/>
          <w:szCs w:val="26"/>
        </w:rPr>
        <w:t xml:space="preserve">Header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3366" w:sz="3"/>
              <w:left w:val="single" w:color="003366" w:sz="3"/>
              <w:bottom w:val="single" w:color="003366" w:sz="3"/>
              <w:right w:val="single" w:color="003366" w:sz="3"/>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003366" w:sz="3"/>
              <w:left w:val="single" w:color="003366" w:sz="3"/>
              <w:bottom w:val="single" w:color="003366" w:sz="3"/>
              <w:right w:val="single" w:color="003366" w:sz="3"/>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Number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N0017325RDH03</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System</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X-Hangar — 3rd Generation Expeditionary Hangar System</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Contractor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Vertex Shelter Systems, Inc., Huntsville AL</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Assessment Period</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 October 2024 – 31 May 2025 (Months 1–8 of Base Year)</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Report Date</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06 June 2025</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Nicole Jacobs, Program Manager — NRL Code 5009</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Trigger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X-Hangar Demonstration (CDRL A008) completion, 13-14 May 2025</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Distribution</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Jason Calandruccio (CO, N00173); NRL Code 5009 Program File</w:t>
            </w:r>
          </w:p>
        </w:tc>
      </w:tr>
      <w:tr>
        <w:tc>
          <w:tcPr>
            <w:tcW w:type="dxa" w:w="312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b/>
                <w:bCs/>
                <w:sz w:val="20"/>
                <w:szCs w:val="20"/>
              </w:rPr>
              <w:t xml:space="preserve">Contract Status</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 PROGRESS — Base Year. No CPAR issued at this time.</w:t>
            </w:r>
          </w:p>
        </w:tc>
      </w:tr>
    </w:tbl>
    <w:p>
      <w:pPr>
        <w:spacing w:after="60" w:before="60"/>
      </w:pPr>
      <w:r>
        <w:t xml:space="preserve"/>
      </w:r>
    </w:p>
    <w:p>
      <w:pPr>
        <w:pStyle w:val="Heading1"/>
        <w:pBdr>
          <w:bottom w:val="single" w:color="003366" w:sz="3" w:space="1"/>
        </w:pBdr>
        <w:spacing w:after="120" w:before="280"/>
      </w:pPr>
      <w:r>
        <w:rPr>
          <w:rFonts w:ascii="Arial" w:cs="Arial" w:eastAsia="Arial" w:hAnsi="Arial"/>
          <w:b/>
          <w:bCs/>
          <w:color w:val="003366"/>
          <w:sz w:val="26"/>
          <w:szCs w:val="26"/>
        </w:rPr>
        <w:t xml:space="preserve">1. Purpose</w:t>
      </w:r>
    </w:p>
    <w:p>
      <w:pPr>
        <w:spacing w:after="100" w:before="80"/>
      </w:pPr>
      <w:r>
        <w:rPr>
          <w:rFonts w:ascii="Arial" w:cs="Arial" w:eastAsia="Arial" w:hAnsi="Arial"/>
          <w:b w:val="false"/>
          <w:bCs w:val="false"/>
          <w:color w:val="000000"/>
          <w:sz w:val="22"/>
          <w:szCs w:val="22"/>
        </w:rPr>
        <w:t xml:space="preserve">This Performance Narrative Report documents the Government's assessment of Vertex Shelter Systems, Inc. performance on contract N0017325RDH03 through completion of the Initial X-Hangar Demonstration on 13-14 May 2025. It covers Months 1-8 of the base year and is prepared by Nicole Jacobs, NRL Code 5009 Program Manager, as a contemporaneous Government performance record. This is an in-progress contract; no CPAR is being issued at this time. This report will serve as a reference document for the eventual CPAR at contract closeout or option exercise.</w:t>
      </w:r>
    </w:p>
    <w:p>
      <w:pPr>
        <w:spacing w:after="60" w:before="60"/>
      </w:pPr>
      <w:r>
        <w:t xml:space="preserve"/>
      </w:r>
    </w:p>
    <w:p>
      <w:pPr>
        <w:pStyle w:val="Heading1"/>
        <w:pBdr>
          <w:bottom w:val="single" w:color="003366" w:sz="3" w:space="1"/>
        </w:pBdr>
        <w:spacing w:after="120" w:before="280"/>
      </w:pPr>
      <w:r>
        <w:rPr>
          <w:rFonts w:ascii="Arial" w:cs="Arial" w:eastAsia="Arial" w:hAnsi="Arial"/>
          <w:b/>
          <w:bCs/>
          <w:color w:val="003366"/>
          <w:sz w:val="26"/>
          <w:szCs w:val="26"/>
        </w:rPr>
        <w:t xml:space="preserve">2. Contract Summary and Current Status</w:t>
      </w:r>
    </w:p>
    <w:p>
      <w:pPr>
        <w:spacing w:after="100" w:before="80"/>
      </w:pPr>
      <w:r>
        <w:rPr>
          <w:rFonts w:ascii="Arial" w:cs="Arial" w:eastAsia="Arial" w:hAnsi="Arial"/>
          <w:b w:val="false"/>
          <w:bCs w:val="false"/>
          <w:color w:val="000000"/>
          <w:sz w:val="22"/>
          <w:szCs w:val="22"/>
        </w:rPr>
        <w:t xml:space="preserve">Contract N0017325RDH03 tasks Vertex Shelter Systems, Inc. to design, fabricate, demonstrate, and deliver 3rd Generation Expeditionary Hangar (X-Hangar) systems for USAF and USMC end users. The X-Hangar is a deployable camouflage hangar system designed to conceal fixed-wing and rotary-wing aircraft from aerial and ground observation. Key contract deliverables include first production system delivery (CDRL A007), an Initial Demonstration (CDRL A008), design modifications based on end-user feedback (CDRL A009), and delivery of modified systems (CDRL A010 and A011).</w:t>
      </w:r>
    </w:p>
    <w:p>
      <w:pPr>
        <w:spacing w:after="100" w:before="80"/>
      </w:pPr>
      <w:r>
        <w:rPr>
          <w:rFonts w:ascii="Arial" w:cs="Arial" w:eastAsia="Arial" w:hAnsi="Arial"/>
          <w:b w:val="false"/>
          <w:bCs w:val="false"/>
          <w:color w:val="000000"/>
          <w:sz w:val="22"/>
          <w:szCs w:val="22"/>
        </w:rPr>
        <w:t xml:space="preserve">Through Month 8 of performance, the contractor has completed: contract kickoff (A005), IPR 1 Design Review (A006 IPR 1), IPR 2 Spin 1 Testing Review (A006 IPR 2), first production deliveries (A007), and the Initial Demonstration (A008). Design modification work under A009 is in early planning. Two KPPs — erection time and camouflage seam alignment — were not met at the demonstration.</w:t>
      </w:r>
    </w:p>
    <w:p>
      <w:pPr>
        <w:spacing w:after="60" w:before="60"/>
      </w:pPr>
      <w:r>
        <w:t xml:space="preserve"/>
      </w:r>
    </w:p>
    <w:p>
      <w:pPr>
        <w:pStyle w:val="Heading1"/>
        <w:pBdr>
          <w:bottom w:val="single" w:color="003366" w:sz="3" w:space="1"/>
        </w:pBdr>
        <w:spacing w:after="120" w:before="280"/>
      </w:pPr>
      <w:r>
        <w:rPr>
          <w:rFonts w:ascii="Arial" w:cs="Arial" w:eastAsia="Arial" w:hAnsi="Arial"/>
          <w:b/>
          <w:bCs/>
          <w:color w:val="003366"/>
          <w:sz w:val="26"/>
          <w:szCs w:val="26"/>
        </w:rPr>
        <w:t xml:space="preserve">3. Technical Performance Assessment</w:t>
      </w:r>
    </w:p>
    <w:p>
      <w:pPr>
        <w:pStyle w:val="Heading2"/>
        <w:spacing w:after="80" w:before="180"/>
      </w:pPr>
      <w:r>
        <w:rPr>
          <w:rFonts w:ascii="Arial" w:cs="Arial" w:eastAsia="Arial" w:hAnsi="Arial"/>
          <w:b/>
          <w:bCs/>
          <w:color w:val="1A5C8A"/>
          <w:sz w:val="23"/>
          <w:szCs w:val="23"/>
        </w:rPr>
        <w:t xml:space="preserve">3.1 Erection Time Requirement</w:t>
      </w:r>
    </w:p>
    <w:p>
      <w:pPr>
        <w:spacing w:after="100" w:before="80"/>
      </w:pPr>
      <w:r>
        <w:rPr>
          <w:rFonts w:ascii="Arial" w:cs="Arial" w:eastAsia="Arial" w:hAnsi="Arial"/>
          <w:b w:val="false"/>
          <w:bCs w:val="false"/>
          <w:color w:val="000000"/>
          <w:sz w:val="22"/>
          <w:szCs w:val="22"/>
        </w:rPr>
        <w:t xml:space="preserve">The contract specifies a 30-minute erection time for a trained 6-person crew. This requirement has not been demonstrated at any point in the program to date. Spin 1 testing in March 2025 produced a best time of 41 minutes with a Vertex-trained crew. The Initial Demonstration in May 2025, using Government/end-user crews with one rehearsal, produced best times of 33 minutes (USAF) and 34 minutes (USMC). The gap to requirement has narrowed from 11 minutes to 3-4 minutes between Spin 1 and the demonstration, which reflects genuine progress.</w:t>
      </w:r>
    </w:p>
    <w:p>
      <w:pPr>
        <w:spacing w:after="100" w:before="80"/>
      </w:pPr>
      <w:r>
        <w:rPr>
          <w:rFonts w:ascii="Arial" w:cs="Arial" w:eastAsia="Arial" w:hAnsi="Arial"/>
          <w:b w:val="false"/>
          <w:bCs w:val="false"/>
          <w:color w:val="000000"/>
          <w:sz w:val="22"/>
          <w:szCs w:val="22"/>
        </w:rPr>
        <w:t xml:space="preserve">However, the contractor's proposed resolution — a revised assembly manual and color-coded pole marking — has been the stated solution since IPR 2 in March 2025, and it has not yet closed the erection time gap. The Government is not yet satisfied that a procedure-only solution will achieve the 30-minute requirement. The mid-height pole junction, identified by USAF end users as the primary time constraint, appears to be a structural/design issue rather than a purely procedural one. The Government's technical assessment is that achieving 30 minutes will likely require a hardware change to the pole junction design.</w:t>
      </w:r>
    </w:p>
    <w:p>
      <w:pPr>
        <w:spacing w:after="100" w:before="80"/>
      </w:pPr>
      <w:r>
        <w:rPr>
          <w:rFonts w:ascii="Arial" w:cs="Arial" w:eastAsia="Arial" w:hAnsi="Arial"/>
          <w:b w:val="false"/>
          <w:bCs w:val="false"/>
          <w:color w:val="000000"/>
          <w:sz w:val="22"/>
          <w:szCs w:val="22"/>
        </w:rPr>
        <w:t xml:space="preserve">The contractor has not submitted an erection time compliance verification plan, despite this being raised as an open item at IPR 1 (January 2025), in the Government's comment letter of 14 March 2025, and again in the post-demonstration comment letter of 27 May 2025. The Government formally raised this item three times over five months without receiving a substantive written response on the verification methodology.</w:t>
      </w:r>
    </w:p>
    <w:p>
      <w:pPr>
        <w:pStyle w:val="Heading2"/>
        <w:spacing w:after="80" w:before="180"/>
      </w:pPr>
      <w:r>
        <w:rPr>
          <w:rFonts w:ascii="Arial" w:cs="Arial" w:eastAsia="Arial" w:hAnsi="Arial"/>
          <w:b/>
          <w:bCs/>
          <w:color w:val="1A5C8A"/>
          <w:sz w:val="23"/>
          <w:szCs w:val="23"/>
        </w:rPr>
        <w:t xml:space="preserve">3.2 Camouflage Panel Seam Alignment</w:t>
      </w:r>
    </w:p>
    <w:p>
      <w:pPr>
        <w:spacing w:after="100" w:before="80"/>
      </w:pPr>
      <w:r>
        <w:rPr>
          <w:rFonts w:ascii="Arial" w:cs="Arial" w:eastAsia="Arial" w:hAnsi="Arial"/>
          <w:b w:val="false"/>
          <w:bCs w:val="false"/>
          <w:color w:val="000000"/>
          <w:sz w:val="22"/>
          <w:szCs w:val="22"/>
        </w:rPr>
        <w:t xml:space="preserve">The USMC unit's tropical side camouflage pattern showed visible seam gaps at panel junctions throughout the program. This issue first appeared in the Spin 1 prototype testing (March 2025), was noted in the incoming inspection of the USMC first production unit (April 2025), and was assessed as operationally significant by USMC end users at the demonstration (May 2025). USMC representatives stated that the seam gaps produce a visible discontinuity in the tropical pattern that would be detectable by aerial reconnaissance at operationally relevant ranges.</w:t>
      </w:r>
    </w:p>
    <w:p>
      <w:pPr>
        <w:spacing w:after="100" w:before="80"/>
      </w:pPr>
      <w:r>
        <w:rPr>
          <w:rFonts w:ascii="Arial" w:cs="Arial" w:eastAsia="Arial" w:hAnsi="Arial"/>
          <w:b w:val="false"/>
          <w:bCs w:val="false"/>
          <w:color w:val="000000"/>
          <w:sz w:val="22"/>
          <w:szCs w:val="22"/>
        </w:rPr>
        <w:t xml:space="preserve">The Government notes a concerning pattern in how this issue was handled in the contractor's progress reports. The Month 5 report described the Spin 1 tropical seam misalignment as 'within acceptable tolerance for the Spin 1 prototype.' The Month 7 report noted that incoming inspection of the USMC production unit found seam gaps of 12-18mm against a Vertex internal specification of 10mm, but characterized the units as 'accepted.' The USMC seam gap finding in the incoming inspection record — which represented a known out-of-specification condition at the time of delivery — was not formally disclosed to the Government in either the delivery documentation or the Month 7 progress report narrative. The Government became aware of the specific gap measurements only after reviewing Vertex's incoming inspection records following the demonstration.</w:t>
      </w:r>
    </w:p>
    <w:p>
      <w:pPr>
        <w:spacing w:after="100" w:before="80"/>
      </w:pPr>
      <w:r>
        <w:rPr>
          <w:rFonts w:ascii="Arial" w:cs="Arial" w:eastAsia="Arial" w:hAnsi="Arial"/>
          <w:b w:val="false"/>
          <w:bCs w:val="false"/>
          <w:color w:val="000000"/>
          <w:sz w:val="22"/>
          <w:szCs w:val="22"/>
        </w:rPr>
        <w:t xml:space="preserve">The Government's comment letter of 14 March 2025 specifically requested a formal characterization of seam gap measurements at all panel junctions. Vertex's written response of 28 April 2025 did not address this request. As of the date of this PNR, no seam gap characterization has been provided by the contractor.</w:t>
      </w:r>
    </w:p>
    <w:p>
      <w:pPr>
        <w:spacing w:after="60" w:before="60"/>
      </w:pPr>
      <w:r>
        <w:t xml:space="preserve"/>
      </w:r>
    </w:p>
    <w:p>
      <w:pPr>
        <w:pStyle w:val="Heading1"/>
        <w:pBdr>
          <w:bottom w:val="single" w:color="003366" w:sz="3" w:space="1"/>
        </w:pBdr>
        <w:spacing w:after="120" w:before="280"/>
      </w:pPr>
      <w:r>
        <w:rPr>
          <w:rFonts w:ascii="Arial" w:cs="Arial" w:eastAsia="Arial" w:hAnsi="Arial"/>
          <w:b/>
          <w:bCs/>
          <w:color w:val="003366"/>
          <w:sz w:val="26"/>
          <w:szCs w:val="26"/>
        </w:rPr>
        <w:t xml:space="preserve">4. Schedule Performance</w:t>
      </w:r>
    </w:p>
    <w:p>
      <w:pPr>
        <w:spacing w:after="100" w:before="80"/>
      </w:pPr>
      <w:r>
        <w:rPr>
          <w:rFonts w:ascii="Arial" w:cs="Arial" w:eastAsia="Arial" w:hAnsi="Arial"/>
          <w:b w:val="false"/>
          <w:bCs w:val="false"/>
          <w:color w:val="000000"/>
          <w:sz w:val="22"/>
          <w:szCs w:val="22"/>
        </w:rPr>
        <w:t xml:space="preserve">Overall schedule performance is mixed. The program is broadly on track at the milestone level — IPR 1, IPR 2, first production delivery, and the Initial Demonstration have all been completed — but with recurring delays at the deliverable and correspondence level.</w:t>
      </w:r>
    </w:p>
    <w:p>
      <w:pPr>
        <w:spacing w:after="100" w:before="80"/>
      </w:pPr>
      <w:r>
        <w:rPr>
          <w:rFonts w:ascii="Arial" w:cs="Arial" w:eastAsia="Arial" w:hAnsi="Arial"/>
          <w:b w:val="false"/>
          <w:bCs w:val="false"/>
          <w:color w:val="000000"/>
          <w:sz w:val="22"/>
          <w:szCs w:val="22"/>
        </w:rPr>
        <w:t xml:space="preserve">Notable schedule items:</w:t>
      </w:r>
    </w:p>
    <w:p>
      <w:pPr>
        <w:pStyle w:val="ListParagraph"/>
        <w:numPr>
          <w:ilvl w:val="0"/>
          <w:numId w:val="2"/>
        </w:numPr>
        <w:spacing w:after="40" w:before="40"/>
      </w:pPr>
      <w:r>
        <w:rPr>
          <w:rFonts w:ascii="Arial" w:cs="Arial" w:eastAsia="Arial" w:hAnsi="Arial"/>
          <w:color w:val="000000"/>
          <w:sz w:val="22"/>
          <w:szCs w:val="22"/>
        </w:rPr>
        <w:t xml:space="preserve">IPR 2 conducted 3 days late — minor.</w:t>
      </w:r>
    </w:p>
    <w:p>
      <w:pPr>
        <w:pStyle w:val="ListParagraph"/>
        <w:numPr>
          <w:ilvl w:val="0"/>
          <w:numId w:val="2"/>
        </w:numPr>
        <w:spacing w:after="40" w:before="40"/>
      </w:pPr>
      <w:r>
        <w:rPr>
          <w:rFonts w:ascii="Arial" w:cs="Arial" w:eastAsia="Arial" w:hAnsi="Arial"/>
          <w:color w:val="000000"/>
          <w:sz w:val="22"/>
          <w:szCs w:val="22"/>
        </w:rPr>
        <w:t xml:space="preserve">Written response to Government IPR 1 comments submitted 12 days late (committed 07 Feb, submitted 19 Feb 2025).</w:t>
      </w:r>
    </w:p>
    <w:p>
      <w:pPr>
        <w:pStyle w:val="ListParagraph"/>
        <w:numPr>
          <w:ilvl w:val="0"/>
          <w:numId w:val="2"/>
        </w:numPr>
        <w:spacing w:after="40" w:before="40"/>
      </w:pPr>
      <w:r>
        <w:rPr>
          <w:rFonts w:ascii="Arial" w:cs="Arial" w:eastAsia="Arial" w:hAnsi="Arial"/>
          <w:color w:val="000000"/>
          <w:sz w:val="22"/>
          <w:szCs w:val="22"/>
        </w:rPr>
        <w:t xml:space="preserve">Written response to Government 14 March comment letter submitted 31 days late (committed 28 March, submitted 28 April 2025). The response did not address all four items in the letter.</w:t>
      </w:r>
    </w:p>
    <w:p>
      <w:pPr>
        <w:pStyle w:val="ListParagraph"/>
        <w:numPr>
          <w:ilvl w:val="0"/>
          <w:numId w:val="2"/>
        </w:numPr>
        <w:spacing w:after="40" w:before="40"/>
      </w:pPr>
      <w:r>
        <w:rPr>
          <w:rFonts w:ascii="Arial" w:cs="Arial" w:eastAsia="Arial" w:hAnsi="Arial"/>
          <w:color w:val="000000"/>
          <w:sz w:val="22"/>
          <w:szCs w:val="22"/>
        </w:rPr>
        <w:t xml:space="preserve">CDRL A007 first production delivery 9 days late.</w:t>
      </w:r>
    </w:p>
    <w:p>
      <w:pPr>
        <w:pStyle w:val="ListParagraph"/>
        <w:numPr>
          <w:ilvl w:val="0"/>
          <w:numId w:val="2"/>
        </w:numPr>
        <w:spacing w:after="40" w:before="40"/>
      </w:pPr>
      <w:r>
        <w:rPr>
          <w:rFonts w:ascii="Arial" w:cs="Arial" w:eastAsia="Arial" w:hAnsi="Arial"/>
          <w:color w:val="000000"/>
          <w:sz w:val="22"/>
          <w:szCs w:val="22"/>
        </w:rPr>
        <w:t xml:space="preserve">Monthly progress reports for Months 1, 2, 3, 5, 6, 7, and 8 were each submitted 13-16 days after the end of the reporting period. Month 4 was submitted 14 days late. No report has been submitted within 10 days of period end.</w:t>
      </w:r>
    </w:p>
    <w:p>
      <w:pPr>
        <w:spacing w:after="60" w:before="60"/>
      </w:pPr>
      <w:r>
        <w:t xml:space="preserve"/>
      </w:r>
    </w:p>
    <w:p>
      <w:pPr>
        <w:pStyle w:val="Heading1"/>
        <w:pBdr>
          <w:bottom w:val="single" w:color="003366" w:sz="3" w:space="1"/>
        </w:pBdr>
        <w:spacing w:after="120" w:before="280"/>
      </w:pPr>
      <w:r>
        <w:rPr>
          <w:rFonts w:ascii="Arial" w:cs="Arial" w:eastAsia="Arial" w:hAnsi="Arial"/>
          <w:b/>
          <w:bCs/>
          <w:color w:val="003366"/>
          <w:sz w:val="26"/>
          <w:szCs w:val="26"/>
        </w:rPr>
        <w:t xml:space="preserve">5. Communication Performance</w:t>
      </w:r>
    </w:p>
    <w:p>
      <w:pPr>
        <w:spacing w:after="100" w:before="80"/>
      </w:pPr>
      <w:r>
        <w:rPr>
          <w:rFonts w:ascii="Arial" w:cs="Arial" w:eastAsia="Arial" w:hAnsi="Arial"/>
          <w:b w:val="false"/>
          <w:bCs w:val="false"/>
          <w:color w:val="000000"/>
          <w:sz w:val="22"/>
          <w:szCs w:val="22"/>
        </w:rPr>
        <w:t xml:space="preserve">Communication performance is a significant concern and is the primary driver of this PNR. A consistent pattern has emerged across the eight months of performance to date.</w:t>
      </w:r>
    </w:p>
    <w:p>
      <w:pPr>
        <w:spacing w:after="100" w:before="80"/>
      </w:pPr>
      <w:r>
        <w:rPr>
          <w:rFonts w:ascii="Arial" w:cs="Arial" w:eastAsia="Arial" w:hAnsi="Arial"/>
          <w:b w:val="false"/>
          <w:bCs w:val="false"/>
          <w:color w:val="000000"/>
          <w:sz w:val="22"/>
          <w:szCs w:val="22"/>
        </w:rPr>
        <w:t xml:space="preserve">Government technical comment letters have been the primary mechanism for formally addressing technical issues. Three such letters have been sent (post-IPR 1 on 24 January 2025, the 14 March 2025 letter, and the post-demonstration letter on 27 May 2025). In each case, Vertex's written response has been: (a) late, (b) incomplete in that not all Government items were addressed, and (c) deferring of the most technically difficult items to a future event.</w:t>
      </w:r>
    </w:p>
    <w:p>
      <w:pPr>
        <w:spacing w:after="100" w:before="80"/>
      </w:pPr>
      <w:r>
        <w:rPr>
          <w:rFonts w:ascii="Arial" w:cs="Arial" w:eastAsia="Arial" w:hAnsi="Arial"/>
          <w:b w:val="false"/>
          <w:bCs w:val="false"/>
          <w:color w:val="000000"/>
          <w:sz w:val="22"/>
          <w:szCs w:val="22"/>
        </w:rPr>
        <w:t xml:space="preserve">The 14 March 2025 letter illustrates the pattern clearly. Four items were transmitted. Vertex's response on 28 April 2025 — 45 days later — addressed items 1, 3, and 4. Item 2 (seam gap characterization) was entirely absent from the response with no explanation. Item 1 (erection time) was addressed with a procedure-change proposal that the Government had already indicated was insufficient. Item 4 (erection time verification plan) was addressed with a proposal to execute the verification at the demonstration — which occurred, but without a prior Government-approved test protocol.</w:t>
      </w:r>
    </w:p>
    <w:p>
      <w:pPr>
        <w:spacing w:after="100" w:before="80"/>
      </w:pPr>
      <w:r>
        <w:rPr>
          <w:rFonts w:ascii="Arial" w:cs="Arial" w:eastAsia="Arial" w:hAnsi="Arial"/>
          <w:b w:val="false"/>
          <w:bCs w:val="false"/>
          <w:color w:val="000000"/>
          <w:sz w:val="22"/>
          <w:szCs w:val="22"/>
        </w:rPr>
        <w:t xml:space="preserve">The Government has not received responses to its letters dated 24 January 2025 and 14 March 2025 that it considers technically complete. As of the date of this PNR, the 27 May 2025 post-demonstration letter has not yet received a response.</w:t>
      </w:r>
    </w:p>
    <w:p>
      <w:pPr>
        <w:spacing w:after="100" w:before="80"/>
      </w:pPr>
      <w:r>
        <w:rPr>
          <w:rFonts w:ascii="Arial" w:cs="Arial" w:eastAsia="Arial" w:hAnsi="Arial"/>
          <w:b w:val="false"/>
          <w:bCs w:val="false"/>
          <w:color w:val="000000"/>
          <w:sz w:val="22"/>
          <w:szCs w:val="22"/>
        </w:rPr>
        <w:t xml:space="preserve">Vertex's program manager Thomas Gruber is professional and responsive in verbal conversations. The communication gap exists specifically in written correspondence. This pattern — where verbal discussions are productive but written commitments and responses lag or are incomplete — is a program management concern that creates documentation gaps and makes it difficult for the Government to maintain a clear record of contractor commitments.</w:t>
      </w:r>
    </w:p>
    <w:p>
      <w:pPr>
        <w:spacing w:after="60" w:before="60"/>
      </w:pPr>
      <w:r>
        <w:t xml:space="preserve"/>
      </w:r>
    </w:p>
    <w:p>
      <w:pPr>
        <w:pStyle w:val="Heading1"/>
        <w:pBdr>
          <w:bottom w:val="single" w:color="003366" w:sz="3" w:space="1"/>
        </w:pBdr>
        <w:spacing w:after="120" w:before="280"/>
      </w:pPr>
      <w:r>
        <w:rPr>
          <w:rFonts w:ascii="Arial" w:cs="Arial" w:eastAsia="Arial" w:hAnsi="Arial"/>
          <w:b/>
          <w:bCs/>
          <w:color w:val="003366"/>
          <w:sz w:val="26"/>
          <w:szCs w:val="26"/>
        </w:rPr>
        <w:t xml:space="preserve">6. Positive Observations</w:t>
      </w:r>
    </w:p>
    <w:p>
      <w:pPr>
        <w:spacing w:after="100" w:before="80"/>
      </w:pPr>
      <w:r>
        <w:rPr>
          <w:rFonts w:ascii="Arial" w:cs="Arial" w:eastAsia="Arial" w:hAnsi="Arial"/>
          <w:b w:val="false"/>
          <w:bCs w:val="false"/>
          <w:color w:val="000000"/>
          <w:sz w:val="22"/>
          <w:szCs w:val="22"/>
        </w:rPr>
        <w:t xml:space="preserve">The following positive performance attributes are noted for the record:</w:t>
      </w:r>
    </w:p>
    <w:p>
      <w:pPr>
        <w:pStyle w:val="ListParagraph"/>
        <w:numPr>
          <w:ilvl w:val="0"/>
          <w:numId w:val="2"/>
        </w:numPr>
        <w:spacing w:after="40" w:before="40"/>
      </w:pPr>
      <w:r>
        <w:rPr>
          <w:rFonts w:ascii="Arial" w:cs="Arial" w:eastAsia="Arial" w:hAnsi="Arial"/>
          <w:color w:val="000000"/>
          <w:sz w:val="22"/>
          <w:szCs w:val="22"/>
        </w:rPr>
        <w:t xml:space="preserve">Contractor technical team demonstrated genuine engineering competence in the structural frame design and pole extrusion specification. The channel extrusion concept for panel attachment is well-conceived and functioned as designed.</w:t>
      </w:r>
    </w:p>
    <w:p>
      <w:pPr>
        <w:pStyle w:val="ListParagraph"/>
        <w:numPr>
          <w:ilvl w:val="0"/>
          <w:numId w:val="2"/>
        </w:numPr>
        <w:spacing w:after="40" w:before="40"/>
      </w:pPr>
      <w:r>
        <w:rPr>
          <w:rFonts w:ascii="Arial" w:cs="Arial" w:eastAsia="Arial" w:hAnsi="Arial"/>
          <w:color w:val="000000"/>
          <w:sz w:val="22"/>
          <w:szCs w:val="22"/>
        </w:rPr>
        <w:t xml:space="preserve">Chromatic Fabrics subcontract management was adequate. The first article inspection process was followed, and the hem width deficiency was identified and corrected before full production.</w:t>
      </w:r>
    </w:p>
    <w:p>
      <w:pPr>
        <w:pStyle w:val="ListParagraph"/>
        <w:numPr>
          <w:ilvl w:val="0"/>
          <w:numId w:val="2"/>
        </w:numPr>
        <w:spacing w:after="40" w:before="40"/>
      </w:pPr>
      <w:r>
        <w:rPr>
          <w:rFonts w:ascii="Arial" w:cs="Arial" w:eastAsia="Arial" w:hAnsi="Arial"/>
          <w:color w:val="000000"/>
          <w:sz w:val="22"/>
          <w:szCs w:val="22"/>
        </w:rPr>
        <w:t xml:space="preserve">GFE handling and site conduct at the Fort Campbell demonstration were professional and well-organized. Vertex's field team was prepared and the demonstration logistics were executed without significant issues.</w:t>
      </w:r>
    </w:p>
    <w:p>
      <w:pPr>
        <w:pStyle w:val="ListParagraph"/>
        <w:numPr>
          <w:ilvl w:val="0"/>
          <w:numId w:val="2"/>
        </w:numPr>
        <w:spacing w:after="40" w:before="40"/>
      </w:pPr>
      <w:r>
        <w:rPr>
          <w:rFonts w:ascii="Arial" w:cs="Arial" w:eastAsia="Arial" w:hAnsi="Arial"/>
          <w:color w:val="000000"/>
          <w:sz w:val="22"/>
          <w:szCs w:val="22"/>
        </w:rPr>
        <w:t xml:space="preserve">The erection time gap narrowed from 11 minutes (Spin 1) to 3-4 minutes (demonstration), demonstrating that procedure improvements have had a measurable effect even if the requirement has not yet been met.</w:t>
      </w:r>
    </w:p>
    <w:p>
      <w:pPr>
        <w:spacing w:after="60" w:before="60"/>
      </w:pPr>
      <w:r>
        <w:t xml:space="preserve"/>
      </w:r>
    </w:p>
    <w:p>
      <w:pPr>
        <w:pStyle w:val="Heading1"/>
        <w:pBdr>
          <w:bottom w:val="single" w:color="003366" w:sz="3" w:space="1"/>
        </w:pBdr>
        <w:spacing w:after="120" w:before="280"/>
      </w:pPr>
      <w:r>
        <w:rPr>
          <w:rFonts w:ascii="Arial" w:cs="Arial" w:eastAsia="Arial" w:hAnsi="Arial"/>
          <w:b/>
          <w:bCs/>
          <w:color w:val="003366"/>
          <w:sz w:val="26"/>
          <w:szCs w:val="26"/>
        </w:rPr>
        <w:t xml:space="preserve">7. Government Actions and Open Items</w:t>
      </w:r>
    </w:p>
    <w:p>
      <w:pPr>
        <w:spacing w:after="100" w:before="80"/>
      </w:pPr>
      <w:r>
        <w:rPr>
          <w:rFonts w:ascii="Arial" w:cs="Arial" w:eastAsia="Arial" w:hAnsi="Arial"/>
          <w:b w:val="false"/>
          <w:bCs w:val="false"/>
          <w:color w:val="000000"/>
          <w:sz w:val="22"/>
          <w:szCs w:val="22"/>
        </w:rPr>
        <w:t xml:space="preserve">The following items are tracked by the Government as open as of the date of this PNR: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2160"/>
        <w:gridCol w:w="2400"/>
      </w:tblGrid>
      <w:tr>
        <w:tc>
          <w:tcPr>
            <w:tcW w:type="dxa" w:w="600"/>
            <w:tcBorders>
              <w:top w:val="single" w:color="003366" w:sz="3"/>
              <w:left w:val="single" w:color="003366" w:sz="3"/>
              <w:bottom w:val="single" w:color="003366" w:sz="3"/>
              <w:right w:val="single" w:color="003366" w:sz="3"/>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003366" w:sz="3"/>
              <w:left w:val="single" w:color="003366" w:sz="3"/>
              <w:bottom w:val="single" w:color="003366" w:sz="3"/>
              <w:right w:val="single" w:color="003366" w:sz="3"/>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60"/>
            <w:tcBorders>
              <w:top w:val="single" w:color="003366" w:sz="3"/>
              <w:left w:val="single" w:color="003366" w:sz="3"/>
              <w:bottom w:val="single" w:color="003366" w:sz="3"/>
              <w:right w:val="single" w:color="003366" w:sz="3"/>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003366" w:sz="3"/>
              <w:left w:val="single" w:color="003366" w:sz="3"/>
              <w:bottom w:val="single" w:color="003366" w:sz="3"/>
              <w:right w:val="single" w:color="003366" w:sz="3"/>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1</w:t>
            </w:r>
          </w:p>
        </w:tc>
        <w:tc>
          <w:tcPr>
            <w:tcW w:type="dxa" w:w="42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Erection time compliance verification plan</w:t>
            </w:r>
          </w:p>
        </w:tc>
        <w:tc>
          <w:tcPr>
            <w:tcW w:type="dxa" w:w="216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IPR 1 AI / 14 Mar letter</w:t>
            </w:r>
          </w:p>
        </w:tc>
        <w:tc>
          <w:tcPr>
            <w:tcW w:type="dxa" w:w="24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No adequate response received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Seam gap characterization — all panel junctions (formal measurement)</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 Mar letter, item 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addressed by contractor</w:t>
            </w:r>
          </w:p>
        </w:tc>
      </w:tr>
      <w:tr>
        <w:tc>
          <w:tcPr>
            <w:tcW w:type="dxa" w:w="6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3</w:t>
            </w:r>
          </w:p>
        </w:tc>
        <w:tc>
          <w:tcPr>
            <w:tcW w:type="dxa" w:w="42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Hardware vs. procedure solution for erection time gap</w:t>
            </w:r>
          </w:p>
        </w:tc>
        <w:tc>
          <w:tcPr>
            <w:tcW w:type="dxa" w:w="216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Post-demo, 27 May letter</w:t>
            </w:r>
          </w:p>
        </w:tc>
        <w:tc>
          <w:tcPr>
            <w:tcW w:type="dxa" w:w="24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Contractor response pending</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CDRL A009 design modification package — Govt concurrence required before A010 delivery</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Program milestone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 yet submitted by contractor</w:t>
            </w:r>
          </w:p>
        </w:tc>
      </w:tr>
      <w:tr>
        <w:tc>
          <w:tcPr>
            <w:tcW w:type="dxa" w:w="6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5</w:t>
            </w:r>
          </w:p>
        </w:tc>
        <w:tc>
          <w:tcPr>
            <w:tcW w:type="dxa" w:w="42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USMC tropical seam — formal disposition and path to compliance</w:t>
            </w:r>
          </w:p>
        </w:tc>
        <w:tc>
          <w:tcPr>
            <w:tcW w:type="dxa" w:w="216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Post-demo, 27 May letter</w:t>
            </w:r>
          </w:p>
        </w:tc>
        <w:tc>
          <w:tcPr>
            <w:tcW w:type="dxa" w:w="2400"/>
            <w:tcBorders>
              <w:top w:val="single" w:color="AAAAAA" w:sz="1"/>
              <w:left w:val="single" w:color="AAAAAA" w:sz="1"/>
              <w:bottom w:val="single" w:color="AAAAAA" w:sz="1"/>
              <w:right w:val="single" w:color="AAAAAA" w:sz="1"/>
            </w:tcBorders>
            <w:shd w:fill="E8EFF5" w:val="clear"/>
            <w:tcMar>
              <w:top w:type="dxa" w:w="80"/>
              <w:left w:type="dxa" w:w="120"/>
              <w:bottom w:type="dxa" w:w="80"/>
              <w:right w:type="dxa" w:w="120"/>
            </w:tcMar>
          </w:tcPr>
          <w:p>
            <w:r>
              <w:rPr>
                <w:rFonts w:ascii="Arial" w:cs="Arial" w:eastAsia="Arial" w:hAnsi="Arial"/>
                <w:sz w:val="20"/>
                <w:szCs w:val="20"/>
              </w:rPr>
              <w:t xml:space="preserve">Contractor response pending</w:t>
            </w:r>
          </w:p>
        </w:tc>
      </w:tr>
    </w:tbl>
    <w:p>
      <w:pPr>
        <w:spacing w:after="60" w:before="60"/>
      </w:pPr>
      <w:r>
        <w:t xml:space="preserve"/>
      </w:r>
    </w:p>
    <w:p>
      <w:pPr>
        <w:pStyle w:val="Heading1"/>
        <w:pBdr>
          <w:bottom w:val="single" w:color="003366" w:sz="3" w:space="1"/>
        </w:pBdr>
        <w:spacing w:after="120" w:before="280"/>
      </w:pPr>
      <w:r>
        <w:rPr>
          <w:rFonts w:ascii="Arial" w:cs="Arial" w:eastAsia="Arial" w:hAnsi="Arial"/>
          <w:b/>
          <w:bCs/>
          <w:color w:val="003366"/>
          <w:sz w:val="26"/>
          <w:szCs w:val="26"/>
        </w:rPr>
        <w:t xml:space="preserve">8. Outlook</w:t>
      </w:r>
    </w:p>
    <w:p>
      <w:pPr>
        <w:spacing w:after="100" w:before="80"/>
      </w:pPr>
      <w:r>
        <w:rPr>
          <w:rFonts w:ascii="Arial" w:cs="Arial" w:eastAsia="Arial" w:hAnsi="Arial"/>
          <w:b w:val="false"/>
          <w:bCs w:val="false"/>
          <w:color w:val="000000"/>
          <w:sz w:val="22"/>
          <w:szCs w:val="22"/>
        </w:rPr>
        <w:t xml:space="preserve">The program is at a critical juncture. The two primary technical findings from the demonstration — erection time gap and USMC seam misalignment — are both legitimately solvable problems, and the Government does not assess that either represents a fundamental design deficiency. The concern is whether Vertex will address them with sufficient engineering rigor and communicate progress in a timely and complete manner.</w:t>
      </w:r>
    </w:p>
    <w:p>
      <w:pPr>
        <w:spacing w:after="100" w:before="80"/>
      </w:pPr>
      <w:r>
        <w:rPr>
          <w:rFonts w:ascii="Arial" w:cs="Arial" w:eastAsia="Arial" w:hAnsi="Arial"/>
          <w:b w:val="false"/>
          <w:bCs w:val="false"/>
          <w:color w:val="000000"/>
          <w:sz w:val="22"/>
          <w:szCs w:val="22"/>
        </w:rPr>
        <w:t xml:space="preserve">The Government's recommendation for the next phase (CDRL A009 modifications) is that Vertex submit a design modification package that specifically addresses: (1) a hardware modification proposal for the mid-height pole junction with a predicted erection time reduction analysis, and (2) a revised panel seam specification with dimensional tolerances and a Chromatic Fabrics process control plan. The Government will not concur with a CDRL A009 package that proposes only procedural changes without engineering analysis support.</w:t>
      </w:r>
    </w:p>
    <w:p>
      <w:pPr>
        <w:spacing w:after="100" w:before="80"/>
      </w:pPr>
      <w:r>
        <w:rPr>
          <w:rFonts w:ascii="Arial" w:cs="Arial" w:eastAsia="Arial" w:hAnsi="Arial"/>
          <w:b w:val="false"/>
          <w:bCs w:val="false"/>
          <w:color w:val="000000"/>
          <w:sz w:val="22"/>
          <w:szCs w:val="22"/>
        </w:rPr>
        <w:t xml:space="preserve">This PNR will be maintained as a program file document. A supplemental PNR may be issued at option year exercise or upon significant program events. Formal CPAR will be prepared at contract closeout.</w:t>
      </w:r>
    </w:p>
    <w:p>
      <w:pPr>
        <w:spacing w:after="60" w:before="60"/>
      </w:pPr>
      <w:r>
        <w:t xml:space="preserve"/>
      </w:r>
    </w:p>
    <w:p>
      <w:pPr>
        <w:spacing w:after="60" w:before="120"/>
      </w:pPr>
      <w:r>
        <w:rPr>
          <w:rFonts w:ascii="Arial" w:cs="Arial" w:eastAsia="Arial" w:hAnsi="Arial"/>
          <w:sz w:val="22"/>
          <w:szCs w:val="22"/>
        </w:rPr>
        <w:t xml:space="preserve">Nicole Jacobs
Program Manager, NRL Code 5009
06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2026-04-26T18:27:52.066Z</dcterms:created>
  <dcterms:modified xsi:type="dcterms:W3CDTF">2026-04-26T18:27:52.066Z</dcterms:modified>
</cp:coreProperties>
</file>

<file path=docProps/custom.xml><?xml version="1.0" encoding="utf-8"?>
<Properties xmlns="http://schemas.openxmlformats.org/officeDocument/2006/custom-properties" xmlns:vt="http://schemas.openxmlformats.org/officeDocument/2006/docPropsVTypes"/>
</file>