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pBdr>
        <w:spacing w:after="60" w:before="0"/>
        <w:jc w:val="center"/>
      </w:pPr>
      <w:r>
        <w:rPr>
          <w:rFonts w:ascii="Arial" w:cs="Arial" w:eastAsia="Arial" w:hAnsi="Arial"/>
          <w:b/>
          <w:bCs/>
          <w:color w:val="1F3864"/>
          <w:sz w:val="32"/>
          <w:szCs w:val="32"/>
        </w:rPr>
        <w:t xml:space="preserve">CONTRACTOR PERFORMANCE ASSESSMENT REPORT (CPAR)</w:t>
      </w:r>
    </w:p>
    <w:p>
      <w:pPr>
        <w:spacing w:after="40" w:before="60"/>
        <w:jc w:val="center"/>
      </w:pPr>
      <w:r>
        <w:rPr>
          <w:rFonts w:ascii="Arial" w:cs="Arial" w:eastAsia="Arial" w:hAnsi="Arial"/>
          <w:b/>
          <w:bCs/>
          <w:color w:val="444444"/>
          <w:sz w:val="22"/>
          <w:szCs w:val="22"/>
        </w:rPr>
        <w:t xml:space="preserve">FINAL — BASE YEAR ASSESSMENT</w:t>
      </w:r>
    </w:p>
    <w:p>
      <w:pPr>
        <w:spacing w:after="240" w:before="0"/>
        <w:jc w:val="center"/>
      </w:pPr>
      <w:r>
        <w:rPr>
          <w:rFonts w:ascii="Arial" w:cs="Arial" w:eastAsia="Arial" w:hAnsi="Arial"/>
          <w:i/>
          <w:iCs/>
          <w:color w:val="777777"/>
          <w:sz w:val="18"/>
          <w:szCs w:val="18"/>
        </w:rPr>
        <w:t xml:space="preserve">Prepared in accordance with FAR Subpart 42.15 and DFARS 242.1502 | CPARS System Filing Required</w:t>
      </w:r>
    </w:p>
    <w:p>
      <w:pPr>
        <w:pBdr>
          <w:bottom w:val="single" w:color="1F3864" w:sz="8"/>
        </w:pBdr>
        <w:spacing w:after="120" w:before="280"/>
      </w:pPr>
      <w:r>
        <w:rPr>
          <w:rFonts w:ascii="Arial" w:cs="Arial" w:eastAsia="Arial" w:hAnsi="Arial"/>
          <w:b/>
          <w:bCs/>
          <w:color w:val="1F3864"/>
          <w:sz w:val="24"/>
          <w:szCs w:val="24"/>
        </w:rPr>
        <w:t xml:space="preserve">BLOCKS 1–12: CONTRACT &amp; REGISTERED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2160"/>
        <w:gridCol w:w="2040"/>
      </w:tblGrid>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Contract Number:</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N0024426C0087</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Order Number:</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Contractor:</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ClearOps Systems LLC</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CAGE Code:</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9TW42</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Address:</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4210 Wilson Blvd, Suite 600, Arlington, VA 22203</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DUNS:</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078-334-5519</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NAICS Code:</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611710 — Educational Support Services</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Business Size:</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Small Business</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Contract Type:</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Firm Fixed Price (FFP)</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Report Type:</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Final Report</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Awarded Value:</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$505,600.00 (Base Year, CLIN 0001+0002)</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Final Obligated:</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$494,180.00</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Period of Performance:</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March 2026 – 30 March 2027</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Place:</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Contractor Site / NSO Oberammergau (travel)</w:t>
            </w:r>
          </w:p>
        </w:tc>
      </w:tr>
      <w:tr>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Issuing Office:</w:t>
            </w:r>
          </w:p>
        </w:tc>
        <w:tc>
          <w:tcPr>
            <w:tcW w:type="dxa" w:w="30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NAVSUP FLT LOG CTR San Diego (N00244)</w:t>
            </w:r>
          </w:p>
        </w:tc>
        <w:tc>
          <w:tcPr>
            <w:tcW w:type="dxa" w:w="21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Administered By:</w:t>
            </w:r>
          </w:p>
        </w:tc>
        <w:tc>
          <w:tcPr>
            <w:tcW w:type="dxa" w:w="204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NAVSUP FLT LOG CTR San Diego</w:t>
            </w:r>
          </w:p>
        </w:tc>
      </w:tr>
    </w:tbl>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iCs/>
          <w:color w:val="444444"/>
          <w:sz w:val="20"/>
          <w:szCs w:val="20"/>
        </w:rPr>
        <w:t xml:space="preserve">Block 15 — Subcontractors: ClearOps Systems LLC did not utilize subcontractors performing 25% or more of the work or a critical aspect of the work during this assessment period.</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8"/>
        </w:pBdr>
        <w:spacing w:after="120" w:before="280"/>
      </w:pPr>
      <w:r>
        <w:rPr>
          <w:rFonts w:ascii="Arial" w:cs="Arial" w:eastAsia="Arial" w:hAnsi="Arial"/>
          <w:b/>
          <w:bCs/>
          <w:color w:val="1F3864"/>
          <w:sz w:val="24"/>
          <w:szCs w:val="24"/>
        </w:rPr>
        <w:t xml:space="preserve">BLOCK 17: CONTRACT EFFORT DESCRIPTION</w:t>
      </w:r>
    </w:p>
    <w:p>
      <w:pPr>
        <w:spacing w:after="80" w:before="80"/>
      </w:pPr>
      <w:r>
        <w:rPr>
          <w:rFonts w:ascii="Arial" w:cs="Arial" w:eastAsia="Arial" w:hAnsi="Arial"/>
          <w:b w:val="false"/>
          <w:bCs w:val="false"/>
          <w:i w:val="false"/>
          <w:iCs w:val="false"/>
          <w:color w:val="000000"/>
          <w:sz w:val="20"/>
          <w:szCs w:val="20"/>
        </w:rPr>
        <w:t xml:space="preserve">ClearOps Systems LLC provided Virtual Machine (VM) Support Services to the Naval Postgraduate School (NPS) in support of the NPS-NATO School Oberammergau (NSO) cybersecurity education partnership. The contractor was responsible for designing, developing, deploying, and maintaining browser-based virtual machine environments for nine advanced cyber security courses — including Network Traffic Analysis, Software Reverse Engineering, Mobile Applications, Network Vulnerability Assessment &amp; Risk Mitigation, Cyber Incident Handling &amp; Disaster Response, ML&amp;AI for Cyber Applications, Introduction to Machine Learning &amp; Artificial Intelligence, Network Security, and Fundamentals of AI — taught to NATO personnel at NSO Oberammergau, Germany. Deliverables included individualized VM instances for each student and instructor, web-based interfaces for student and instructor access, performance metrics collection, instructional and student guides, OVA format exports for all VM environments, and live Subject Matter Expert (SME) technical support during 18 in-residence class weeks per year. All personnel were required to be U.S. citizens, and all VM environments were required to be 100% browser-based with no software installation, available 96% of the time, and responsive to users in Europe, the Middle East, and Far East Asia within a 90ms latency threshold.</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8"/>
        </w:pBdr>
        <w:spacing w:after="120" w:before="280"/>
      </w:pPr>
      <w:r>
        <w:rPr>
          <w:rFonts w:ascii="Arial" w:cs="Arial" w:eastAsia="Arial" w:hAnsi="Arial"/>
          <w:b/>
          <w:bCs/>
          <w:color w:val="1F3864"/>
          <w:sz w:val="24"/>
          <w:szCs w:val="24"/>
        </w:rPr>
        <w:t xml:space="preserve">BLOCKS 18 &amp; 20: CPAR RATINGS AND PERFORMANCE NARRATIVES</w:t>
      </w:r>
    </w:p>
    <w:p>
      <w:pPr>
        <w:spacing w:after="80" w:before="80"/>
      </w:pPr>
      <w:r>
        <w:rPr>
          <w:rFonts w:ascii="Arial" w:cs="Arial" w:eastAsia="Arial" w:hAnsi="Arial"/>
          <w:b w:val="false"/>
          <w:bCs w:val="false"/>
          <w:i/>
          <w:iCs/>
          <w:color w:val="555555"/>
          <w:sz w:val="18"/>
          <w:szCs w:val="18"/>
        </w:rPr>
        <w:t xml:space="preserve">Assessing Official: Nicole Jacobs, Program Manager, ClearOps Systems LLC (Acting as Government Assessing Official Representative)</w:t>
      </w:r>
    </w:p>
    <w:p>
      <w:pPr>
        <w:spacing w:after="80" w:before="80"/>
      </w:pPr>
      <w:r>
        <w:rPr>
          <w:rFonts w:ascii="Arial" w:cs="Arial" w:eastAsia="Arial" w:hAnsi="Arial"/>
          <w:b w:val="false"/>
          <w:bCs w:val="false"/>
          <w:i/>
          <w:iCs/>
          <w:color w:val="555555"/>
          <w:sz w:val="18"/>
          <w:szCs w:val="18"/>
        </w:rPr>
        <w:t xml:space="preserve">Rating definitions follow the DoD CPARS color/adjective scale: Dark Blue (Exceptional) → Purple (Very Good) → Green (Satisfactory) → Yellow (Marginal) → Red (Unsatisfactory).</w:t>
      </w:r>
    </w:p>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Summary of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600"/>
        <w:gridCol w:w="1800"/>
      </w:tblGrid>
      <w:tr>
        <w:tc>
          <w:tcPr>
            <w:tcW w:type="dxa" w:w="39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Assessment Area</w:t>
            </w:r>
          </w:p>
        </w:tc>
        <w:tc>
          <w:tcPr>
            <w:tcW w:type="dxa" w:w="36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Rating</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Trend</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Quality of Product or Service</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6A0DAD"/>
                <w:sz w:val="18"/>
                <w:szCs w:val="18"/>
              </w:rPr>
              <w:t xml:space="preserve">Purple / Very Good</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Improving (+)</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Schedule</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6A0DAD"/>
                <w:sz w:val="18"/>
                <w:szCs w:val="18"/>
              </w:rPr>
              <w:t xml:space="preserve">Purple / Very Good</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Stable</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Control</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1F3864"/>
                <w:sz w:val="18"/>
                <w:szCs w:val="18"/>
              </w:rPr>
              <w:t xml:space="preserve">Dark Blue / Exceptional</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Stable</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Business Relations</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6A0DAD"/>
                <w:sz w:val="18"/>
                <w:szCs w:val="18"/>
              </w:rPr>
              <w:t xml:space="preserve">Purple / Very Good</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Improving (+)</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 / Key Personnel</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6A0DAD"/>
                <w:sz w:val="18"/>
                <w:szCs w:val="18"/>
              </w:rPr>
              <w:t xml:space="preserve">Purple / Very Good</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Stable</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Small Business Subcontracting</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555555"/>
                <w:sz w:val="18"/>
                <w:szCs w:val="18"/>
              </w:rPr>
              <w:t xml:space="preserve">N/A</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OVERALL RATING</w:t>
            </w:r>
          </w:p>
        </w:tc>
        <w:tc>
          <w:tcPr>
            <w:tcW w:type="dxa" w:w="3600"/>
            <w:tcBorders>
              <w:top w:val="single" w:color="AAAAAA" w:sz="4"/>
              <w:left w:val="single" w:color="AAAAAA" w:sz="4"/>
              <w:bottom w:val="single" w:color="AAAAAA" w:sz="4"/>
              <w:right w:val="single" w:color="AAAAAA" w:sz="4"/>
            </w:tcBorders>
            <w:shd w:fill="F0F0F0" w:val="clear"/>
            <w:tcMar>
              <w:top w:type="dxa" w:w="80"/>
              <w:left w:type="dxa" w:w="120"/>
              <w:bottom w:type="dxa" w:w="80"/>
              <w:right w:type="dxa" w:w="120"/>
            </w:tcMar>
          </w:tcPr>
          <w:p>
            <w:r>
              <w:rPr>
                <w:rFonts w:ascii="Arial" w:cs="Arial" w:eastAsia="Arial" w:hAnsi="Arial"/>
                <w:b/>
                <w:bCs/>
                <w:color w:val="6A0DAD"/>
                <w:sz w:val="18"/>
                <w:szCs w:val="18"/>
              </w:rPr>
              <w:t xml:space="preserve">Purple / Very Good</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Improving (+)</w:t>
            </w:r>
          </w:p>
        </w:tc>
      </w:tr>
    </w:tbl>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1. Quality of Product or Service — Purple / Very Good</w:t>
      </w:r>
    </w:p>
    <w:p>
      <w:pPr>
        <w:spacing w:after="80" w:before="80"/>
      </w:pPr>
      <w:r>
        <w:rPr>
          <w:rFonts w:ascii="Arial" w:cs="Arial" w:eastAsia="Arial" w:hAnsi="Arial"/>
          <w:b w:val="false"/>
          <w:bCs w:val="false"/>
          <w:i w:val="false"/>
          <w:iCs w:val="false"/>
          <w:color w:val="000000"/>
          <w:sz w:val="20"/>
          <w:szCs w:val="20"/>
        </w:rPr>
        <w:t xml:space="preserve">ClearOps Systems LLC delivered nine fully functional browser-based virtual machine environments over the course of the base year, all of which passed NPS pre-class testing and met or exceeded the 96% availability threshold required under the Performance Work Statement. Measured availability across all nine environments averaged 97.1% for the base year, with no class cancellations or significant disruptions attributable to contractor performance.</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The quality of the learning environments themselves was consistently rated positively by NPS faculty. The contractor incorporated 100% of the 14 faculty and student feedback items designated as critical or high-priority across all course cycles — including a notable mid-year revision to the Cyber Incident Handling lab scenarios to align with NIST SP 800-61 Rev. 3, which was completed within three weeks of identification and prior to the next course cycle. Lab exercises were technically accurate, pedagogically sound, and well-matched to the course objectives verified by NPS three weeks prior to each class, as required.</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One minor quality gap was identified in Q1: the Mobile Applications VM encountered a macOS licensing delay that resulted in a two-week delivery slip against the internal milestone. ClearOps communicated the issue proactively, pursued a parallel technical path, and resolved the matter without impact to any scheduled class. Network latency exceeded the 90ms threshold during two of five Traffic Analysis sessions in Q2 for students connecting from South Korea; the contractor identified the root cause (suboptimal BGP routing configuration), implemented a fix, and reduced average latency to 78ms on subsequent sessions. No further latency exceedances occurred.</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The quality rating of Purple / Very Good reflects a strong and consistent delivery record, with demonstrable improvements incorporated throughout the period. The rating does not reach Exceptional because two correctable quality issues (latency exceedance, macOS delay) required government notification during the base year, and a singular quality gap of sufficient magnitude to constitute an Exceptional event was not identified.</w:t>
      </w:r>
    </w:p>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2. Schedule — Purple / Very Good</w:t>
      </w:r>
    </w:p>
    <w:p>
      <w:pPr>
        <w:spacing w:after="80" w:before="80"/>
      </w:pPr>
      <w:r>
        <w:rPr>
          <w:rFonts w:ascii="Arial" w:cs="Arial" w:eastAsia="Arial" w:hAnsi="Arial"/>
          <w:b w:val="false"/>
          <w:bCs w:val="false"/>
          <w:i w:val="false"/>
          <w:iCs w:val="false"/>
          <w:color w:val="000000"/>
          <w:sz w:val="20"/>
          <w:szCs w:val="20"/>
        </w:rPr>
        <w:t xml:space="preserve">ClearOps Systems LLC met or exceeded all scheduled delivery dates for the three priority course environments (Network Traffic Analysis, Software Reverse Engineering, Mobile Applications), with two of three delivered ahead of the planned NPS delivery date. The remaining six VM environments were completed and accepted within the base year period of performance, all prior to their associated course cycles.</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Eighteen in-residence class weeks were supported throughout the year with no missed or late engagements. SME presence was provided at NSO Oberammergau for all required sessions. The eight-hour email response requirement during non-in-class weeks was consistently met, and the 24-hour coverage requirement during in-residence weeks was maintained without gaps. CDRL deliverables (A001–A006) were all submitted on or before the required dates, with final acceptance of CDRL A005 (Instructional and Student Guides) accepted on 20 March 2027 — ten days prior to the end of the base year.</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The sole schedule risk during the base year was the Mobile Applications VM delivery, which was projected to slip by approximately two weeks in Q1 due to the macOS licensing issue. The contractor mitigated this through parallel-path engineering and ultimately delivered the environment ahead of the class cycle without any impact to students or faculty. This proactive approach prevented what could have been a schedule failure from becoming one.</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Schedule is rated Purple / Very Good. All contractual schedule requirements were met. The minor Mobile Applications slip, while self-corrected, is noted as the sole basis for not awarding an Exceptional rating in this area.</w:t>
      </w:r>
    </w:p>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3. Cost Control — Dark Blue / Exceptional</w:t>
      </w:r>
    </w:p>
    <w:p>
      <w:pPr>
        <w:spacing w:after="80" w:before="80"/>
      </w:pPr>
      <w:r>
        <w:rPr>
          <w:rFonts w:ascii="Arial" w:cs="Arial" w:eastAsia="Arial" w:hAnsi="Arial"/>
          <w:b w:val="false"/>
          <w:bCs w:val="false"/>
          <w:i w:val="false"/>
          <w:iCs w:val="false"/>
          <w:color w:val="000000"/>
          <w:sz w:val="20"/>
          <w:szCs w:val="20"/>
        </w:rPr>
        <w:t xml:space="preserve">ClearOps Systems LLC demonstrated exceptional cost management throughout the base year, completing all contractual requirements $11,420 under budget (2.3% below total obligated value). Final expenditures were $476,330 against CLIN 0001 (budgeted at $487,200) and $17,850 against CLIN 0002 (budgeted at $18,400). The contractor achieved these savings without any reduction in deliverable quality, scope, or SME coverage levels.</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Cost efficiencies were achieved through disciplined SME labor planning in Q3 and Q4, where ClearOps identified opportunities to reduce billable hours on mature VM environments without compromising responsiveness or coverage obligations. The contractor submitted accurate monthly invoice documentation throughout the period, and no billing disputes or invoice corrections were required. The government was not required to de-obligate any funds at close-out.</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An Exceptional rating is warranted in this area. ClearOps achieved consistent cost underrun while maintaining full performance, representing a direct and measurable benefit to the Government. This was not a case of scope reduction or cost avoidance; it reflected genuine efficiencies in contractor execution against a firm fixed price instrument.</w:t>
      </w:r>
    </w:p>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4. Business Relations — Purple / Very Good</w:t>
      </w:r>
    </w:p>
    <w:p>
      <w:pPr>
        <w:spacing w:after="80" w:before="80"/>
      </w:pPr>
      <w:r>
        <w:rPr>
          <w:rFonts w:ascii="Arial" w:cs="Arial" w:eastAsia="Arial" w:hAnsi="Arial"/>
          <w:b w:val="false"/>
          <w:bCs w:val="false"/>
          <w:i w:val="false"/>
          <w:iCs w:val="false"/>
          <w:color w:val="000000"/>
          <w:sz w:val="20"/>
          <w:szCs w:val="20"/>
        </w:rPr>
        <w:t xml:space="preserve">ClearOps Systems LLC maintained professional, responsive, and transparent communications with NPS, the Contracting Officer's Representative, and the Contracting Officer throughout the base year. The Program Manager, Nicole Jacobs, held bi-weekly status calls with the NPS COR and provided written agenda and action item logs within 24 hours of each call. The contractor proactively notified the government of both the macOS licensing issue (Q1) and the network latency exceedance (Q2) before either issue was identified through government monitoring — reflecting a culture of transparency that directly supports effective contract oversight.</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In all 17 formal deliverable submissions during the base year, the contractor submitted documentation that was complete, properly formatted, and did not require major rework or clarification. Faculty and student feedback was solicited, tracked, and reported in quarterly progress reports with disposition noted for each item. The contractor's integration and coordination with NATO School Oberammergau staff was described by the NPS COR as effective and professional.</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Business Relations is rated Purple / Very Good. While day-to-day communication and deliverable management were consistently strong, the contractor's business relations did not rise to an Exceptional level requiring identification of a singular or multiple events of extraordinary benefit to the Government's mission.</w:t>
      </w:r>
    </w:p>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5. Management / Key Personnel — Purple / Very Good</w:t>
      </w:r>
    </w:p>
    <w:p>
      <w:pPr>
        <w:spacing w:after="80" w:before="80"/>
      </w:pPr>
      <w:r>
        <w:rPr>
          <w:rFonts w:ascii="Arial" w:cs="Arial" w:eastAsia="Arial" w:hAnsi="Arial"/>
          <w:b w:val="false"/>
          <w:bCs w:val="false"/>
          <w:i w:val="false"/>
          <w:iCs w:val="false"/>
          <w:color w:val="000000"/>
          <w:sz w:val="20"/>
          <w:szCs w:val="20"/>
        </w:rPr>
        <w:t xml:space="preserve">ClearOps Systems LLC staffed the contract with eight senior engineers possessing the required domain expertise across all nine course areas, all verified as U.S. citizens prior to contract start. No key personnel changes occurred during the base year. The Program Manager maintained consistent availability to the government and managed internal resources effectively to sustain both development and live class support activities simultaneously — a non-trivial coordination challenge given that in-residence class weeks overlapped with ongoing VM environment development in Q2 and Q3.</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SMEs deployed to NSO Oberammergau for the in-person class support (CLIN 0002 travel event) received positive post-course feedback from NPS and NATO School faculty. The contractor's technical depth across legacy tools (Ghidra, IDA Pro, Wireshark, Splunk) and emerging areas (ML/AI, DRAKVUF sandbox) was evident in the quality and accuracy of the delivered VM environments and associated lab exercises.</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Management is rated Purple / Very Good. Contractor management was effective, stable, and mission-supportive throughout the base year. No significant weaknesses were identified.</w:t>
      </w:r>
    </w:p>
    <w:p>
      <w:pPr>
        <w:spacing w:after="8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color w:val="1F3864"/>
          <w:sz w:val="21"/>
          <w:szCs w:val="21"/>
        </w:rPr>
        <w:t xml:space="preserve">6. Small Business Subcontracting — N/A</w:t>
      </w:r>
    </w:p>
    <w:p>
      <w:pPr>
        <w:spacing w:after="80" w:before="80"/>
      </w:pPr>
      <w:r>
        <w:rPr>
          <w:rFonts w:ascii="Arial" w:cs="Arial" w:eastAsia="Arial" w:hAnsi="Arial"/>
          <w:b w:val="false"/>
          <w:bCs w:val="false"/>
          <w:i w:val="false"/>
          <w:iCs w:val="false"/>
          <w:color w:val="000000"/>
          <w:sz w:val="20"/>
          <w:szCs w:val="20"/>
        </w:rPr>
        <w:t xml:space="preserve">ClearOps Systems LLC is itself a small business awardee. No subcontractors performing 25% or more of the work or a critical aspect of the work were utilized during this assessment period. This area is rated N/A.</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8"/>
        </w:pBdr>
        <w:spacing w:after="120" w:before="280"/>
      </w:pPr>
      <w:r>
        <w:rPr>
          <w:rFonts w:ascii="Arial" w:cs="Arial" w:eastAsia="Arial" w:hAnsi="Arial"/>
          <w:b/>
          <w:bCs/>
          <w:color w:val="1F3864"/>
          <w:sz w:val="24"/>
          <w:szCs w:val="24"/>
        </w:rPr>
        <w:t xml:space="preserve">BLOCK 20: RECOMMENDATION</w:t>
      </w:r>
    </w:p>
    <w:p>
      <w:pPr>
        <w:spacing w:after="80" w:before="80"/>
      </w:pPr>
      <w:r>
        <w:rPr>
          <w:rFonts w:ascii="Arial" w:cs="Arial" w:eastAsia="Arial" w:hAnsi="Arial"/>
          <w:b w:val="false"/>
          <w:bCs w:val="false"/>
          <w:i w:val="false"/>
          <w:iCs w:val="false"/>
          <w:color w:val="000000"/>
          <w:sz w:val="20"/>
          <w:szCs w:val="20"/>
        </w:rPr>
        <w:t xml:space="preserve">Based on the overall performance record documented in this CPAR, I would definitely recommend awarding future contracts to ClearOps Systems LLC for work of this nature. The contractor demonstrated technical competence across a demanding and multi-domain cybersecurity curriculum, maintained a professional and responsive relationship with the Government, and completed all base year requirements on time and under budget. The issues encountered were minor, proactively disclosed, and promptly resolved. ClearOps has earned a strong past performance record under this contract that should benefit them in future source selections for similar work.</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8"/>
        </w:pBdr>
        <w:spacing w:after="120" w:before="280"/>
      </w:pPr>
      <w:r>
        <w:rPr>
          <w:rFonts w:ascii="Arial" w:cs="Arial" w:eastAsia="Arial" w:hAnsi="Arial"/>
          <w:b/>
          <w:bCs/>
          <w:color w:val="1F3864"/>
          <w:sz w:val="24"/>
          <w:szCs w:val="24"/>
        </w:rPr>
        <w:t xml:space="preserve">CERTIFICATION AND SIGNATURES</w:t>
      </w:r>
    </w:p>
    <w:p>
      <w:pPr>
        <w:spacing w:after="80" w:before="80"/>
      </w:pPr>
      <w:r>
        <w:rPr>
          <w:rFonts w:ascii="Arial" w:cs="Arial" w:eastAsia="Arial" w:hAnsi="Arial"/>
          <w:b w:val="false"/>
          <w:bCs w:val="false"/>
          <w:i w:val="false"/>
          <w:iCs w:val="false"/>
          <w:color w:val="000000"/>
          <w:sz w:val="20"/>
          <w:szCs w:val="20"/>
        </w:rPr>
        <w:t xml:space="preserve">I certify that the information and ratings contained in this Contractor Performance Assessment Report are accurate, complete, and supported by objective evidence gathered throughout the base year period of performance (31 March 2026 – 30 March 2027). This CPAR has been prepared in accordance with FAR 42.15, DFARS 242.1502, and the DoD CPARS Policy Guide.</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tcMar>
              <w:top w:type="dxa" w:w="120"/>
              <w:left w:type="dxa" w:w="180"/>
              <w:bottom w:type="dxa" w:w="280"/>
              <w:right w:type="dxa" w:w="120"/>
            </w:tcMar>
          </w:tcPr>
          <w:p>
            <w:pPr>
              <w:spacing w:after="80" w:before="80"/>
            </w:pPr>
            <w:r>
              <w:rPr>
                <w:rFonts w:ascii="Arial" w:cs="Arial" w:eastAsia="Arial" w:hAnsi="Arial"/>
                <w:b/>
                <w:bCs/>
                <w:i w:val="false"/>
                <w:iCs w:val="false"/>
                <w:color w:val="555555"/>
                <w:sz w:val="18"/>
                <w:szCs w:val="18"/>
              </w:rPr>
              <w:t xml:space="preserve">ASSESSING OFFICIAL</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bCs/>
                <w:i w:val="false"/>
                <w:iCs w:val="false"/>
                <w:color w:val="000000"/>
                <w:sz w:val="24"/>
                <w:szCs w:val="24"/>
              </w:rPr>
              <w:t xml:space="preserve">Nicole Jacobs</w:t>
            </w:r>
          </w:p>
          <w:p>
            <w:pPr>
              <w:spacing w:after="80" w:before="80"/>
            </w:pPr>
            <w:r>
              <w:rPr>
                <w:rFonts w:ascii="Arial" w:cs="Arial" w:eastAsia="Arial" w:hAnsi="Arial"/>
                <w:b w:val="false"/>
                <w:bCs w:val="false"/>
                <w:i w:val="false"/>
                <w:iCs w:val="false"/>
                <w:color w:val="000000"/>
                <w:sz w:val="20"/>
                <w:szCs w:val="20"/>
              </w:rPr>
              <w:t xml:space="preserve">Program Manager</w:t>
            </w:r>
          </w:p>
          <w:p>
            <w:pPr>
              <w:spacing w:after="80" w:before="80"/>
            </w:pPr>
            <w:r>
              <w:rPr>
                <w:rFonts w:ascii="Arial" w:cs="Arial" w:eastAsia="Arial" w:hAnsi="Arial"/>
                <w:b w:val="false"/>
                <w:bCs w:val="false"/>
                <w:i w:val="false"/>
                <w:iCs w:val="false"/>
                <w:color w:val="000000"/>
                <w:sz w:val="20"/>
                <w:szCs w:val="20"/>
              </w:rPr>
              <w:t xml:space="preserve">ClearOps Systems LLC</w:t>
            </w:r>
          </w:p>
          <w:p>
            <w:pPr>
              <w:spacing w:after="80" w:before="80"/>
            </w:pPr>
            <w:r>
              <w:rPr>
                <w:rFonts w:ascii="Arial" w:cs="Arial" w:eastAsia="Arial" w:hAnsi="Arial"/>
                <w:b w:val="false"/>
                <w:bCs w:val="false"/>
                <w:i w:val="false"/>
                <w:iCs w:val="false"/>
                <w:color w:val="000000"/>
                <w:sz w:val="20"/>
                <w:szCs w:val="20"/>
              </w:rPr>
              <w:t xml:space="preserve">N0024426C0087</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Date: 11 April 2027</w:t>
            </w:r>
          </w:p>
        </w:tc>
        <w:tc>
          <w:tcPr>
            <w:tcW w:type="dxa" w:w="4680"/>
            <w:tcBorders>
              <w:top w:val="single" w:color="AAAAAA" w:sz="4"/>
              <w:left w:val="single" w:color="AAAAAA" w:sz="4"/>
              <w:bottom w:val="single" w:color="AAAAAA" w:sz="4"/>
              <w:right w:val="single" w:color="AAAAAA" w:sz="4"/>
            </w:tcBorders>
            <w:tcMar>
              <w:top w:type="dxa" w:w="120"/>
              <w:left w:type="dxa" w:w="180"/>
              <w:bottom w:type="dxa" w:w="280"/>
              <w:right w:type="dxa" w:w="120"/>
            </w:tcMar>
          </w:tcPr>
          <w:p>
            <w:pPr>
              <w:spacing w:after="80" w:before="80"/>
            </w:pPr>
            <w:r>
              <w:rPr>
                <w:rFonts w:ascii="Arial" w:cs="Arial" w:eastAsia="Arial" w:hAnsi="Arial"/>
                <w:b/>
                <w:bCs/>
                <w:i w:val="false"/>
                <w:iCs w:val="false"/>
                <w:color w:val="555555"/>
                <w:sz w:val="18"/>
                <w:szCs w:val="18"/>
              </w:rPr>
              <w:t xml:space="preserve">REVIEWING OFFICIAL</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bCs/>
                <w:i w:val="false"/>
                <w:iCs w:val="false"/>
                <w:color w:val="000000"/>
                <w:sz w:val="24"/>
                <w:szCs w:val="24"/>
              </w:rPr>
              <w:t xml:space="preserve">Dr. Raymond Castillo</w:t>
            </w:r>
          </w:p>
          <w:p>
            <w:pPr>
              <w:spacing w:after="80" w:before="80"/>
            </w:pPr>
            <w:r>
              <w:rPr>
                <w:rFonts w:ascii="Arial" w:cs="Arial" w:eastAsia="Arial" w:hAnsi="Arial"/>
                <w:b w:val="false"/>
                <w:bCs w:val="false"/>
                <w:i w:val="false"/>
                <w:iCs w:val="false"/>
                <w:color w:val="000000"/>
                <w:sz w:val="20"/>
                <w:szCs w:val="20"/>
              </w:rPr>
              <w:t xml:space="preserve">Contracting Officer's Representative</w:t>
            </w:r>
          </w:p>
          <w:p>
            <w:pPr>
              <w:spacing w:after="80" w:before="80"/>
            </w:pPr>
            <w:r>
              <w:rPr>
                <w:rFonts w:ascii="Arial" w:cs="Arial" w:eastAsia="Arial" w:hAnsi="Arial"/>
                <w:b w:val="false"/>
                <w:bCs w:val="false"/>
                <w:i w:val="false"/>
                <w:iCs w:val="false"/>
                <w:color w:val="000000"/>
                <w:sz w:val="20"/>
                <w:szCs w:val="20"/>
              </w:rPr>
              <w:t xml:space="preserve">Naval Postgraduate School</w:t>
            </w:r>
          </w:p>
          <w:p>
            <w:pPr>
              <w:spacing w:after="80" w:before="80"/>
            </w:pPr>
            <w:r>
              <w:rPr>
                <w:rFonts w:ascii="Arial" w:cs="Arial" w:eastAsia="Arial" w:hAnsi="Arial"/>
                <w:b w:val="false"/>
                <w:bCs w:val="false"/>
                <w:i w:val="false"/>
                <w:iCs w:val="false"/>
                <w:color w:val="000000"/>
                <w:sz w:val="20"/>
                <w:szCs w:val="20"/>
              </w:rPr>
              <w:t xml:space="preserve">Energy Academic Group</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Date: _______________</w:t>
            </w:r>
          </w:p>
        </w:tc>
      </w:tr>
      <w:tr>
        <w:tc>
          <w:tcPr>
            <w:tcW w:type="dxa" w:w="4680"/>
            <w:gridSpan w:val="2"/>
            <w:tcBorders>
              <w:top w:val="single" w:color="AAAAAA" w:sz="4"/>
              <w:left w:val="single" w:color="AAAAAA" w:sz="4"/>
              <w:bottom w:val="single" w:color="AAAAAA" w:sz="4"/>
              <w:right w:val="single" w:color="AAAAAA" w:sz="4"/>
            </w:tcBorders>
            <w:tcMar>
              <w:top w:type="dxa" w:w="120"/>
              <w:left w:type="dxa" w:w="180"/>
              <w:bottom w:type="dxa" w:w="280"/>
              <w:right w:type="dxa" w:w="120"/>
            </w:tcMar>
          </w:tcPr>
          <w:p>
            <w:pPr>
              <w:spacing w:after="80" w:before="80"/>
            </w:pPr>
            <w:r>
              <w:rPr>
                <w:rFonts w:ascii="Arial" w:cs="Arial" w:eastAsia="Arial" w:hAnsi="Arial"/>
                <w:b/>
                <w:bCs/>
                <w:i w:val="false"/>
                <w:iCs w:val="false"/>
                <w:color w:val="555555"/>
                <w:sz w:val="18"/>
                <w:szCs w:val="18"/>
              </w:rPr>
              <w:t xml:space="preserve">CONTRACTING OFFICER</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bCs/>
                <w:i w:val="false"/>
                <w:iCs w:val="false"/>
                <w:color w:val="000000"/>
                <w:sz w:val="24"/>
                <w:szCs w:val="24"/>
              </w:rPr>
              <w:t xml:space="preserve">Noni Arcilla</w:t>
            </w:r>
          </w:p>
          <w:p>
            <w:pPr>
              <w:spacing w:after="80" w:before="80"/>
            </w:pPr>
            <w:r>
              <w:rPr>
                <w:rFonts w:ascii="Arial" w:cs="Arial" w:eastAsia="Arial" w:hAnsi="Arial"/>
                <w:b w:val="false"/>
                <w:bCs w:val="false"/>
                <w:i w:val="false"/>
                <w:iCs w:val="false"/>
                <w:color w:val="000000"/>
                <w:sz w:val="20"/>
                <w:szCs w:val="20"/>
              </w:rPr>
              <w:t xml:space="preserve">Contracting Officer — NAVSUP FLT LOG CTR San Diego</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val="false"/>
                <w:iCs w:val="false"/>
                <w:color w:val="000000"/>
                <w:sz w:val="20"/>
                <w:szCs w:val="20"/>
              </w:rPr>
              <w:t xml:space="preserve">Date: _______________</w:t>
            </w:r>
          </w:p>
        </w:tc>
      </w:tr>
    </w:tbl>
    <w:p>
      <w:pPr>
        <w:spacing w:after="80" w:before="80"/>
      </w:pPr>
      <w:r>
        <w:rPr>
          <w:rFonts w:ascii="Arial" w:cs="Arial" w:eastAsia="Arial" w:hAnsi="Arial"/>
          <w:b w:val="false"/>
          <w:bCs w:val="false"/>
          <w:i w:val="false"/>
          <w:iCs w:val="false"/>
          <w:color w:val="000000"/>
          <w:sz w:val="20"/>
          <w:szCs w:val="20"/>
        </w:rPr>
        <w:t xml:space="preserve"/>
      </w:r>
    </w:p>
    <w:p>
      <w:pPr>
        <w:jc w:val="center"/>
      </w:pPr>
      <w:r>
        <w:rPr>
          <w:rFonts w:ascii="Arial" w:cs="Arial" w:eastAsia="Arial" w:hAnsi="Arial"/>
          <w:i/>
          <w:iCs/>
          <w:color w:val="888888"/>
          <w:sz w:val="16"/>
          <w:szCs w:val="16"/>
        </w:rPr>
        <w:t xml:space="preserve">This CPAR must be submitted via the CPARS system at https://www.cpars.gov and released for contractor comment within 14 days of completion.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2026-04-26T18:46:26.461Z</dcterms:created>
  <dcterms:modified xsi:type="dcterms:W3CDTF">2026-04-26T18:46:26.462Z</dcterms:modified>
</cp:coreProperties>
</file>

<file path=docProps/custom.xml><?xml version="1.0" encoding="utf-8"?>
<Properties xmlns="http://schemas.openxmlformats.org/officeDocument/2006/custom-properties" xmlns:vt="http://schemas.openxmlformats.org/officeDocument/2006/docPropsVTypes"/>
</file>