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0"/>
        </w:pBdr>
        <w:spacing w:after="60" w:before="0"/>
        <w:jc w:val="center"/>
      </w:pPr>
      <w:r>
        <w:rPr>
          <w:rFonts w:ascii="Arial" w:cs="Arial" w:eastAsia="Arial" w:hAnsi="Arial"/>
          <w:b/>
          <w:bCs/>
          <w:color w:val="1F3864"/>
          <w:sz w:val="28"/>
          <w:szCs w:val="28"/>
        </w:rPr>
        <w:t xml:space="preserve">INTEGRATED PROGRAM MANAGEMENT REPORT — MID-POINT PERFORMANCE REVIEW</w:t>
      </w:r>
    </w:p>
    <w:p>
      <w:pPr>
        <w:spacing w:after="40" w:before="60"/>
        <w:jc w:val="center"/>
      </w:pPr>
      <w:r>
        <w:rPr>
          <w:rFonts w:ascii="Arial" w:cs="Arial" w:eastAsia="Arial" w:hAnsi="Arial"/>
          <w:color w:val="555555"/>
          <w:sz w:val="18"/>
          <w:szCs w:val="18"/>
        </w:rPr>
        <w:t xml:space="preserve">Contract N0024426C0087 | ClearOps Systems LLC | Report ID: IPMDAR-001</w:t>
      </w:r>
    </w:p>
    <w:p>
      <w:pPr>
        <w:spacing w:after="220" w:before="0"/>
        <w:jc w:val="center"/>
      </w:pPr>
      <w:r>
        <w:rPr>
          <w:rFonts w:ascii="Arial" w:cs="Arial" w:eastAsia="Arial" w:hAnsi="Arial"/>
          <w:i/>
          <w:iCs/>
          <w:color w:val="777777"/>
          <w:sz w:val="16"/>
          <w:szCs w:val="16"/>
        </w:rPr>
        <w:t xml:space="preserve">Integrated Program Management Data Analysis Report (IPMDAR) — Performance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Reporting Period:</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01 April 2026 – 30 September 2026 (Q1–Q2)</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Date Issued:</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 October 2026</w:t>
            </w:r>
          </w:p>
        </w:tc>
      </w:tr>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Reviewed By:</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Nicole Jacobs, PM / Dr. Raymond Castillo, COR</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Contract:</w:t>
            </w:r>
          </w:p>
        </w:tc>
        <w:tc>
          <w:tcPr>
            <w:tcW w:type="dxa" w:w="28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N0024426C0087</w:t>
            </w:r>
          </w:p>
        </w:tc>
      </w:tr>
    </w:tbl>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80"/>
      </w:pPr>
      <w:r>
        <w:rPr>
          <w:rFonts w:ascii="Arial" w:cs="Arial" w:eastAsia="Arial" w:hAnsi="Arial"/>
          <w:b/>
          <w:bCs/>
          <w:color w:val="1F3864"/>
          <w:sz w:val="22"/>
          <w:szCs w:val="22"/>
        </w:rPr>
        <w:t xml:space="preserve">PERFORMANCE INDEX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SPI</w:t>
            </w:r>
          </w:p>
        </w:tc>
        <w:tc>
          <w:tcPr>
            <w:tcW w:type="dxa" w:w="15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CPI</w:t>
            </w:r>
          </w:p>
        </w:tc>
        <w:tc>
          <w:tcPr>
            <w:tcW w:type="dxa" w:w="20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Technical Performance</w:t>
            </w:r>
          </w:p>
        </w:tc>
        <w:tc>
          <w:tcPr>
            <w:tcW w:type="dxa" w:w="20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Schedule Performance</w:t>
            </w:r>
          </w:p>
        </w:tc>
        <w:tc>
          <w:tcPr>
            <w:tcW w:type="dxa" w:w="20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Cost Performance</w:t>
            </w:r>
          </w:p>
        </w:tc>
      </w:tr>
      <w:tr>
        <w:tc>
          <w:tcPr>
            <w:tcW w:type="dxa" w:w="1560"/>
            <w:tcBorders>
              <w:top w:val="single" w:color="AAAAAA" w:sz="4"/>
              <w:left w:val="single" w:color="AAAAAA" w:sz="4"/>
              <w:bottom w:val="single" w:color="AAAAAA" w:sz="4"/>
              <w:right w:val="single" w:color="AAAAAA" w:sz="4"/>
            </w:tcBorders>
            <w:shd w:fill="F8F8F8" w:val="clear"/>
            <w:tcMar>
              <w:top w:type="dxa" w:w="80"/>
              <w:left w:type="dxa" w:w="120"/>
              <w:bottom w:type="dxa" w:w="80"/>
              <w:right w:type="dxa" w:w="120"/>
            </w:tcMar>
          </w:tcPr>
          <w:p>
            <w:r>
              <w:rPr>
                <w:rFonts w:ascii="Arial" w:cs="Arial" w:eastAsia="Arial" w:hAnsi="Arial"/>
                <w:b/>
                <w:bCs/>
                <w:color w:val="2E7D32"/>
                <w:sz w:val="18"/>
                <w:szCs w:val="18"/>
              </w:rPr>
              <w:t xml:space="preserve">1.04</w:t>
            </w:r>
          </w:p>
        </w:tc>
        <w:tc>
          <w:tcPr>
            <w:tcW w:type="dxa" w:w="1560"/>
            <w:tcBorders>
              <w:top w:val="single" w:color="AAAAAA" w:sz="4"/>
              <w:left w:val="single" w:color="AAAAAA" w:sz="4"/>
              <w:bottom w:val="single" w:color="AAAAAA" w:sz="4"/>
              <w:right w:val="single" w:color="AAAAAA" w:sz="4"/>
            </w:tcBorders>
            <w:shd w:fill="F8F8F8" w:val="clear"/>
            <w:tcMar>
              <w:top w:type="dxa" w:w="80"/>
              <w:left w:type="dxa" w:w="120"/>
              <w:bottom w:type="dxa" w:w="80"/>
              <w:right w:type="dxa" w:w="120"/>
            </w:tcMar>
          </w:tcPr>
          <w:p>
            <w:r>
              <w:rPr>
                <w:rFonts w:ascii="Arial" w:cs="Arial" w:eastAsia="Arial" w:hAnsi="Arial"/>
                <w:b/>
                <w:bCs/>
                <w:color w:val="2E7D32"/>
                <w:sz w:val="18"/>
                <w:szCs w:val="18"/>
              </w:rPr>
              <w:t xml:space="preserve">1.08</w:t>
            </w:r>
          </w:p>
        </w:tc>
        <w:tc>
          <w:tcPr>
            <w:tcW w:type="dxa" w:w="20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Meets Requirements</w:t>
            </w:r>
          </w:p>
        </w:tc>
        <w:tc>
          <w:tcPr>
            <w:tcW w:type="dxa" w:w="20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Ahead of Baseline</w:t>
            </w:r>
          </w:p>
        </w:tc>
        <w:tc>
          <w:tcPr>
            <w:tcW w:type="dxa" w:w="20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Under Budget</w:t>
            </w:r>
          </w:p>
        </w:tc>
      </w:tr>
    </w:tbl>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80"/>
      </w:pPr>
      <w:r>
        <w:rPr>
          <w:rFonts w:ascii="Arial" w:cs="Arial" w:eastAsia="Arial" w:hAnsi="Arial"/>
          <w:b/>
          <w:bCs/>
          <w:color w:val="1F3864"/>
          <w:sz w:val="22"/>
          <w:szCs w:val="22"/>
        </w:rPr>
        <w:t xml:space="preserve">EXECUTIVE SUMMARY</w:t>
      </w:r>
    </w:p>
    <w:p>
      <w:pPr>
        <w:spacing w:after="80" w:before="80"/>
      </w:pPr>
      <w:r>
        <w:rPr>
          <w:rFonts w:ascii="Arial" w:cs="Arial" w:eastAsia="Arial" w:hAnsi="Arial"/>
          <w:b w:val="false"/>
          <w:bCs w:val="false"/>
          <w:i w:val="false"/>
          <w:iCs w:val="false"/>
          <w:color w:val="000000"/>
          <w:sz w:val="20"/>
          <w:szCs w:val="20"/>
        </w:rPr>
        <w:t xml:space="preserve">ClearOps Systems LLC has demonstrated strong program performance through the first two quarters of the base year. Three of nine required VM environments have been delivered and accepted; two in-residence class weeks have been successfully supported; and the contractor is trending below budget at the program midpoint. One issue (macOS licensing delay, Q1) and one risk event (Singapore node latency, Q2) were identified and resolved without impact to the customer. SPI of 1.04 indicates work is being completed slightly ahead of schedule; CPI of 1.08 indicates cost is tracking 8% below plan, consistent with contractor's efficiency in Q2 SME labor allocation.</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80"/>
      </w:pPr>
      <w:r>
        <w:rPr>
          <w:rFonts w:ascii="Arial" w:cs="Arial" w:eastAsia="Arial" w:hAnsi="Arial"/>
          <w:b/>
          <w:bCs/>
          <w:color w:val="1F3864"/>
          <w:sz w:val="22"/>
          <w:szCs w:val="22"/>
        </w:rPr>
        <w:t xml:space="preserve">EARNED VALUE MANAGEMENT (EVM)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3600"/>
      </w:tblGrid>
      <w:tr>
        <w:tc>
          <w:tcPr>
            <w:tcW w:type="dxa" w:w="39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EVM Element</w:t>
            </w:r>
          </w:p>
        </w:tc>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Value</w:t>
            </w:r>
          </w:p>
        </w:tc>
        <w:tc>
          <w:tcPr>
            <w:tcW w:type="dxa" w:w="36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Notes</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Planned Value (PV) to Date</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$262,000</w:t>
            </w:r>
          </w:p>
        </w:tc>
        <w:tc>
          <w:tcPr>
            <w:tcW w:type="dxa" w:w="36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Planned expenditure through Q2 end</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Earned Value (EV) to Date</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$272,480</w:t>
            </w:r>
          </w:p>
        </w:tc>
        <w:tc>
          <w:tcPr>
            <w:tcW w:type="dxa" w:w="36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Work completed as valued at contract rates</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Actual Cost (AC) to Date</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$236,550</w:t>
            </w:r>
          </w:p>
        </w:tc>
        <w:tc>
          <w:tcPr>
            <w:tcW w:type="dxa" w:w="36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Total invoiced and accrued costs</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Schedule Variance (SV)</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+$10,480</w:t>
            </w:r>
          </w:p>
        </w:tc>
        <w:tc>
          <w:tcPr>
            <w:tcW w:type="dxa" w:w="36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EV – PV: ahead of schedule</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Cost Variance (CV)</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+$35,930</w:t>
            </w:r>
          </w:p>
        </w:tc>
        <w:tc>
          <w:tcPr>
            <w:tcW w:type="dxa" w:w="36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EV – AC: under budget</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Schedule Performance Index (SPI)</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1.04</w:t>
            </w:r>
          </w:p>
        </w:tc>
        <w:tc>
          <w:tcPr>
            <w:tcW w:type="dxa" w:w="36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Ahead of planned schedule</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Cost Performance Index (CPI)</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1.08</w:t>
            </w:r>
          </w:p>
        </w:tc>
        <w:tc>
          <w:tcPr>
            <w:tcW w:type="dxa" w:w="36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Cost efficiency: doing more with less</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Estimate at Completion (EAC)</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$468,148</w:t>
            </w:r>
          </w:p>
        </w:tc>
        <w:tc>
          <w:tcPr>
            <w:tcW w:type="dxa" w:w="36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AC + (BAC – EV) / CPI</w:t>
            </w:r>
          </w:p>
        </w:tc>
      </w:tr>
      <w:tr>
        <w:tc>
          <w:tcPr>
            <w:tcW w:type="dxa" w:w="396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Variance at Completion (VAC)</w:t>
            </w:r>
          </w:p>
        </w:tc>
        <w:tc>
          <w:tcPr>
            <w:tcW w:type="dxa" w:w="18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+$37,452</w:t>
            </w:r>
          </w:p>
        </w:tc>
        <w:tc>
          <w:tcPr>
            <w:tcW w:type="dxa" w:w="36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Projected favorable variance</w:t>
            </w:r>
          </w:p>
        </w:tc>
      </w:tr>
    </w:tbl>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80"/>
      </w:pPr>
      <w:r>
        <w:rPr>
          <w:rFonts w:ascii="Arial" w:cs="Arial" w:eastAsia="Arial" w:hAnsi="Arial"/>
          <w:b/>
          <w:bCs/>
          <w:color w:val="1F3864"/>
          <w:sz w:val="22"/>
          <w:szCs w:val="22"/>
        </w:rPr>
        <w:t xml:space="preserve">TECHNICAL PERFORMANCE AREA REVIEWS</w:t>
      </w:r>
    </w:p>
    <w:p>
      <w:pPr>
        <w:spacing w:after="60" w:before="180"/>
      </w:pPr>
      <w:r>
        <w:rPr>
          <w:rFonts w:ascii="Arial" w:cs="Arial" w:eastAsia="Arial" w:hAnsi="Arial"/>
          <w:b/>
          <w:bCs/>
          <w:color w:val="2C3E6B"/>
          <w:sz w:val="20"/>
          <w:szCs w:val="20"/>
        </w:rPr>
        <w:t xml:space="preserve">VM Environment Development — On Track</w:t>
      </w:r>
    </w:p>
    <w:p>
      <w:pPr>
        <w:spacing w:after="80" w:before="80"/>
      </w:pPr>
      <w:r>
        <w:rPr>
          <w:rFonts w:ascii="Arial" w:cs="Arial" w:eastAsia="Arial" w:hAnsi="Arial"/>
          <w:b w:val="false"/>
          <w:bCs w:val="false"/>
          <w:i w:val="false"/>
          <w:iCs w:val="false"/>
          <w:color w:val="000000"/>
          <w:sz w:val="20"/>
          <w:szCs w:val="20"/>
        </w:rPr>
        <w:t xml:space="preserve">Three environments (Traffic Analysis, SRE, Mobile Apps) fully delivered and accepted. Six remaining environments in various stages of development. Development velocity is consistent with plan; ML&amp;AI environment scaffold complete ahead of schedule.</w:t>
      </w:r>
    </w:p>
    <w:p>
      <w:pPr>
        <w:spacing w:after="80" w:before="80"/>
      </w:pPr>
      <w:r>
        <w:rPr>
          <w:rFonts w:ascii="Arial" w:cs="Arial" w:eastAsia="Arial" w:hAnsi="Arial"/>
          <w:b w:val="false"/>
          <w:bCs w:val="false"/>
          <w:i w:val="false"/>
          <w:iCs w:val="false"/>
          <w:color w:val="000000"/>
          <w:sz w:val="20"/>
          <w:szCs w:val="20"/>
        </w:rPr>
        <w:t xml:space="preserve"/>
      </w:r>
    </w:p>
    <w:p>
      <w:pPr>
        <w:spacing w:after="60" w:before="180"/>
      </w:pPr>
      <w:r>
        <w:rPr>
          <w:rFonts w:ascii="Arial" w:cs="Arial" w:eastAsia="Arial" w:hAnsi="Arial"/>
          <w:b/>
          <w:bCs/>
          <w:color w:val="2C3E6B"/>
          <w:sz w:val="20"/>
          <w:szCs w:val="20"/>
        </w:rPr>
        <w:t xml:space="preserve">SME Technical Support (In-Residence) — Exceeds Requirements</w:t>
      </w:r>
    </w:p>
    <w:p>
      <w:pPr>
        <w:spacing w:after="80" w:before="80"/>
      </w:pPr>
      <w:r>
        <w:rPr>
          <w:rFonts w:ascii="Arial" w:cs="Arial" w:eastAsia="Arial" w:hAnsi="Arial"/>
          <w:b w:val="false"/>
          <w:bCs w:val="false"/>
          <w:i w:val="false"/>
          <w:iCs w:val="false"/>
          <w:color w:val="000000"/>
          <w:sz w:val="20"/>
          <w:szCs w:val="20"/>
        </w:rPr>
        <w:t xml:space="preserve">Two in-residence class weeks supported in Q2. All response time requirements met. Zero escalations required from NPS during class weeks. SMEs demonstrated deep technical knowledge across Elastic stack, Ghidra, and Android forensics toolsets during class sessions.</w:t>
      </w:r>
    </w:p>
    <w:p>
      <w:pPr>
        <w:spacing w:after="80" w:before="80"/>
      </w:pPr>
      <w:r>
        <w:rPr>
          <w:rFonts w:ascii="Arial" w:cs="Arial" w:eastAsia="Arial" w:hAnsi="Arial"/>
          <w:b w:val="false"/>
          <w:bCs w:val="false"/>
          <w:i w:val="false"/>
          <w:iCs w:val="false"/>
          <w:color w:val="000000"/>
          <w:sz w:val="20"/>
          <w:szCs w:val="20"/>
        </w:rPr>
        <w:t xml:space="preserve"/>
      </w:r>
    </w:p>
    <w:p>
      <w:pPr>
        <w:spacing w:after="60" w:before="180"/>
      </w:pPr>
      <w:r>
        <w:rPr>
          <w:rFonts w:ascii="Arial" w:cs="Arial" w:eastAsia="Arial" w:hAnsi="Arial"/>
          <w:b/>
          <w:bCs/>
          <w:color w:val="2C3E6B"/>
          <w:sz w:val="20"/>
          <w:szCs w:val="20"/>
        </w:rPr>
        <w:t xml:space="preserve">Latency / Infrastructure Performance — Minor Issue Resolved</w:t>
      </w:r>
    </w:p>
    <w:p>
      <w:pPr>
        <w:spacing w:after="80" w:before="80"/>
      </w:pPr>
      <w:r>
        <w:rPr>
          <w:rFonts w:ascii="Arial" w:cs="Arial" w:eastAsia="Arial" w:hAnsi="Arial"/>
          <w:b w:val="false"/>
          <w:bCs w:val="false"/>
          <w:i w:val="false"/>
          <w:iCs w:val="false"/>
          <w:color w:val="000000"/>
          <w:sz w:val="20"/>
          <w:szCs w:val="20"/>
        </w:rPr>
        <w:t xml:space="preserve">Singapore node exceeded 90ms threshold during 2 of 5 Traffic Analysis sessions for South Korean participants. BGP routing correction implemented; issue resolved. All other nodes performed within threshold for 100% of Q1-Q2 sessions. Overall program latency compliance: 97.8% of sessions.</w:t>
      </w:r>
    </w:p>
    <w:p>
      <w:pPr>
        <w:spacing w:after="80" w:before="80"/>
      </w:pPr>
      <w:r>
        <w:rPr>
          <w:rFonts w:ascii="Arial" w:cs="Arial" w:eastAsia="Arial" w:hAnsi="Arial"/>
          <w:b w:val="false"/>
          <w:bCs w:val="false"/>
          <w:i w:val="false"/>
          <w:iCs w:val="false"/>
          <w:color w:val="000000"/>
          <w:sz w:val="20"/>
          <w:szCs w:val="20"/>
        </w:rPr>
        <w:t xml:space="preserve"/>
      </w:r>
    </w:p>
    <w:p>
      <w:pPr>
        <w:spacing w:after="60" w:before="180"/>
      </w:pPr>
      <w:r>
        <w:rPr>
          <w:rFonts w:ascii="Arial" w:cs="Arial" w:eastAsia="Arial" w:hAnsi="Arial"/>
          <w:b/>
          <w:bCs/>
          <w:color w:val="2C3E6B"/>
          <w:sz w:val="20"/>
          <w:szCs w:val="20"/>
        </w:rPr>
        <w:t xml:space="preserve">Instructional Materials Development — On Track</w:t>
      </w:r>
    </w:p>
    <w:p>
      <w:pPr>
        <w:spacing w:after="80" w:before="80"/>
      </w:pPr>
      <w:r>
        <w:rPr>
          <w:rFonts w:ascii="Arial" w:cs="Arial" w:eastAsia="Arial" w:hAnsi="Arial"/>
          <w:b w:val="false"/>
          <w:bCs w:val="false"/>
          <w:i w:val="false"/>
          <w:iCs w:val="false"/>
          <w:color w:val="000000"/>
          <w:sz w:val="20"/>
          <w:szCs w:val="20"/>
        </w:rPr>
        <w:t xml:space="preserve">Draft student and instructor guides for priority courses submitted to NPS COR on schedule. COR review in progress. All acronyms defined, exercises step-by-step, and guide structure consistent with PWS requirements.</w:t>
      </w:r>
    </w:p>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80"/>
      </w:pPr>
      <w:r>
        <w:rPr>
          <w:rFonts w:ascii="Arial" w:cs="Arial" w:eastAsia="Arial" w:hAnsi="Arial"/>
          <w:b/>
          <w:bCs/>
          <w:color w:val="1F3864"/>
          <w:sz w:val="22"/>
          <w:szCs w:val="22"/>
        </w:rPr>
        <w:t xml:space="preserve">RISK REGISTER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580"/>
        <w:gridCol w:w="1200"/>
        <w:gridCol w:w="1200"/>
        <w:gridCol w:w="1200"/>
        <w:gridCol w:w="2400"/>
      </w:tblGrid>
      <w:tr>
        <w:tc>
          <w:tcPr>
            <w:tcW w:type="dxa" w:w="7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ID</w:t>
            </w:r>
          </w:p>
        </w:tc>
        <w:tc>
          <w:tcPr>
            <w:tcW w:type="dxa" w:w="258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Description</w:t>
            </w:r>
          </w:p>
        </w:tc>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Likelihood</w:t>
            </w:r>
          </w:p>
        </w:tc>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Impact</w:t>
            </w:r>
          </w:p>
        </w:tc>
        <w:tc>
          <w:tcPr>
            <w:tcW w:type="dxa" w:w="12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Status</w:t>
            </w:r>
          </w:p>
        </w:tc>
        <w:tc>
          <w:tcPr>
            <w:tcW w:type="dxa" w:w="24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Mitigation</w:t>
            </w:r>
          </w:p>
        </w:tc>
      </w:tr>
      <w:tr>
        <w:tc>
          <w:tcPr>
            <w:tcW w:type="dxa" w:w="7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R-001</w:t>
            </w:r>
          </w:p>
        </w:tc>
        <w:tc>
          <w:tcPr>
            <w:tcW w:type="dxa" w:w="25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macOS Enterprise licensing dependency</w:t>
            </w:r>
          </w:p>
        </w:tc>
        <w:tc>
          <w:tcPr>
            <w:tcW w:type="dxa" w:w="12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2E7D32"/>
                <w:sz w:val="18"/>
                <w:szCs w:val="18"/>
              </w:rPr>
              <w:t xml:space="preserve">Closed</w:t>
            </w:r>
          </w:p>
        </w:tc>
        <w:tc>
          <w:tcPr>
            <w:tcW w:type="dxa" w:w="12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Low</w:t>
            </w:r>
          </w:p>
        </w:tc>
        <w:tc>
          <w:tcPr>
            <w:tcW w:type="dxa" w:w="12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Closed</w:t>
            </w:r>
          </w:p>
        </w:tc>
        <w:tc>
          <w:tcPr>
            <w:tcW w:type="dxa" w:w="24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Resolved Q2. Alternate cloud macOS provider engaged; government notified.</w:t>
            </w:r>
          </w:p>
        </w:tc>
      </w:tr>
      <w:tr>
        <w:tc>
          <w:tcPr>
            <w:tcW w:type="dxa" w:w="7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R-002</w:t>
            </w:r>
          </w:p>
        </w:tc>
        <w:tc>
          <w:tcPr>
            <w:tcW w:type="dxa" w:w="25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Latency exceedance for Far East participants (Singapore node)</w:t>
            </w:r>
          </w:p>
        </w:tc>
        <w:tc>
          <w:tcPr>
            <w:tcW w:type="dxa" w:w="12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2E7D32"/>
                <w:sz w:val="18"/>
                <w:szCs w:val="18"/>
              </w:rPr>
              <w:t xml:space="preserve">Closed</w:t>
            </w:r>
          </w:p>
        </w:tc>
        <w:tc>
          <w:tcPr>
            <w:tcW w:type="dxa" w:w="12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Low</w:t>
            </w:r>
          </w:p>
        </w:tc>
        <w:tc>
          <w:tcPr>
            <w:tcW w:type="dxa" w:w="12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2E7D32"/>
                <w:sz w:val="18"/>
                <w:szCs w:val="18"/>
              </w:rPr>
              <w:t xml:space="preserve">Closed</w:t>
            </w:r>
          </w:p>
        </w:tc>
        <w:tc>
          <w:tcPr>
            <w:tcW w:type="dxa" w:w="24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BGP reconfiguration implemented. Monitoring in place.</w:t>
            </w:r>
          </w:p>
        </w:tc>
      </w:tr>
      <w:tr>
        <w:tc>
          <w:tcPr>
            <w:tcW w:type="dxa" w:w="7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R-003</w:t>
            </w:r>
          </w:p>
        </w:tc>
        <w:tc>
          <w:tcPr>
            <w:tcW w:type="dxa" w:w="258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Faculty curriculum changes requiring mid-cycle VM updates</w:t>
            </w:r>
          </w:p>
        </w:tc>
        <w:tc>
          <w:tcPr>
            <w:tcW w:type="dxa" w:w="12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E65100"/>
                <w:sz w:val="18"/>
                <w:szCs w:val="18"/>
              </w:rPr>
              <w:t xml:space="preserve">Medium</w:t>
            </w:r>
          </w:p>
        </w:tc>
        <w:tc>
          <w:tcPr>
            <w:tcW w:type="dxa" w:w="12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Medium</w:t>
            </w:r>
          </w:p>
        </w:tc>
        <w:tc>
          <w:tcPr>
            <w:tcW w:type="dxa" w:w="12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bCs/>
                <w:i w:val="false"/>
                <w:iCs w:val="false"/>
                <w:color w:val="B71C1C"/>
                <w:sz w:val="18"/>
                <w:szCs w:val="18"/>
              </w:rPr>
              <w:t xml:space="preserve">Open – Monitoring</w:t>
            </w:r>
          </w:p>
        </w:tc>
        <w:tc>
          <w:tcPr>
            <w:tcW w:type="dxa" w:w="24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ClearOps has established a 2-week engineering buffer prior to each class cycle. Feedback loop with NPS faculty structured through quarterly reviews.</w:t>
            </w:r>
          </w:p>
        </w:tc>
      </w:tr>
    </w:tbl>
    <w:p>
      <w:pPr>
        <w:spacing w:after="80" w:before="80"/>
      </w:pPr>
      <w:r>
        <w:rPr>
          <w:rFonts w:ascii="Arial" w:cs="Arial" w:eastAsia="Arial" w:hAnsi="Arial"/>
          <w:b w:val="false"/>
          <w:bCs w:val="false"/>
          <w:i w:val="false"/>
          <w:iCs w:val="false"/>
          <w:color w:val="000000"/>
          <w:sz w:val="20"/>
          <w:szCs w:val="20"/>
        </w:rPr>
        <w:t xml:space="preserve"/>
      </w:r>
    </w:p>
    <w:p>
      <w:pPr>
        <w:pBdr>
          <w:bottom w:val="single" w:color="1F3864" w:sz="6"/>
        </w:pBdr>
        <w:spacing w:after="100" w:before="280"/>
      </w:pPr>
      <w:r>
        <w:rPr>
          <w:rFonts w:ascii="Arial" w:cs="Arial" w:eastAsia="Arial" w:hAnsi="Arial"/>
          <w:b/>
          <w:bCs/>
          <w:color w:val="1F3864"/>
          <w:sz w:val="22"/>
          <w:szCs w:val="22"/>
        </w:rPr>
        <w:t xml:space="preserve">CERTIFICATION</w:t>
      </w:r>
    </w:p>
    <w:p>
      <w:pPr>
        <w:spacing w:after="80" w:before="80"/>
      </w:pPr>
      <w:r>
        <w:rPr>
          <w:rFonts w:ascii="Arial" w:cs="Arial" w:eastAsia="Arial" w:hAnsi="Arial"/>
          <w:b w:val="false"/>
          <w:bCs w:val="false"/>
          <w:i w:val="false"/>
          <w:iCs w:val="false"/>
          <w:color w:val="000000"/>
          <w:sz w:val="20"/>
          <w:szCs w:val="20"/>
        </w:rPr>
        <w:t xml:space="preserve">This Integrated Program Management Data Analysis Report (IPMDAR) — Performance Narrative (IPMDAR-001) has been prepared by the Program Manager and reviewed by the Contracting Officer's Representative. Data is current as of 15 October 2026.</w:t>
      </w:r>
    </w:p>
    <w:p>
      <w:pPr>
        <w:spacing w:after="8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bCs/>
          <w:i w:val="false"/>
          <w:iCs w:val="false"/>
          <w:color w:val="000000"/>
          <w:sz w:val="20"/>
          <w:szCs w:val="20"/>
        </w:rPr>
        <w:t xml:space="preserve">Nicole Jacobs, PM — ClearOps Systems LLC</w:t>
      </w:r>
    </w:p>
    <w:p>
      <w:pPr>
        <w:spacing w:after="80" w:before="80"/>
      </w:pPr>
      <w:r>
        <w:rPr>
          <w:rFonts w:ascii="Arial" w:cs="Arial" w:eastAsia="Arial" w:hAnsi="Arial"/>
          <w:b w:val="false"/>
          <w:bCs w:val="false"/>
          <w:i w:val="false"/>
          <w:iCs w:val="false"/>
          <w:color w:val="000000"/>
          <w:sz w:val="20"/>
          <w:szCs w:val="20"/>
        </w:rPr>
        <w:t xml:space="preserve">Date: 15 October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2026-04-26T18:47:56.540Z</dcterms:created>
  <dcterms:modified xsi:type="dcterms:W3CDTF">2026-04-26T18:47:56.541Z</dcterms:modified>
</cp:coreProperties>
</file>

<file path=docProps/custom.xml><?xml version="1.0" encoding="utf-8"?>
<Properties xmlns="http://schemas.openxmlformats.org/officeDocument/2006/custom-properties" xmlns:vt="http://schemas.openxmlformats.org/officeDocument/2006/docPropsVTypes"/>
</file>