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pBdr>
        <w:spacing w:after="120" w:before="0"/>
        <w:jc w:val="center"/>
      </w:pPr>
      <w:r>
        <w:rPr>
          <w:rFonts w:ascii="Arial" w:cs="Arial" w:eastAsia="Arial" w:hAnsi="Arial"/>
          <w:b/>
          <w:bCs/>
          <w:color w:val="1F3864"/>
          <w:sz w:val="32"/>
          <w:szCs w:val="32"/>
        </w:rPr>
        <w:t xml:space="preserve">CONTRACT AWARD NOTIFICATION</w:t>
      </w:r>
    </w:p>
    <w:p>
      <w:pPr>
        <w:spacing w:after="200" w:before="40"/>
        <w:jc w:val="center"/>
      </w:pPr>
      <w:r>
        <w:rPr>
          <w:rFonts w:ascii="Arial" w:cs="Arial" w:eastAsia="Arial" w:hAnsi="Arial"/>
          <w:color w:val="444444"/>
          <w:sz w:val="18"/>
          <w:szCs w:val="18"/>
        </w:rPr>
        <w:t xml:space="preserve">SOLICITATION/CONTRACT/ORDER FOR COMMERCIAL PRODUCTS AND COMMERCIAL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1560"/>
        <w:gridCol w:w="1560"/>
        <w:gridCol w:w="780"/>
      </w:tblGrid>
      <w:tr>
        <w:tc>
          <w:tcPr>
            <w:tcW w:type="dxa" w:w="156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CONTRACT NO.</w:t>
            </w:r>
          </w:p>
        </w:tc>
        <w:tc>
          <w:tcPr>
            <w:tcW w:type="dxa" w:w="234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N0024426C0087</w:t>
            </w:r>
          </w:p>
        </w:tc>
        <w:tc>
          <w:tcPr>
            <w:tcW w:type="dxa" w:w="156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AWARD DATE</w:t>
            </w:r>
          </w:p>
        </w:tc>
        <w:tc>
          <w:tcPr>
            <w:tcW w:type="dxa" w:w="15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28 Mar 2026</w:t>
            </w:r>
          </w:p>
        </w:tc>
        <w:tc>
          <w:tcPr>
            <w:tcW w:type="dxa" w:w="156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SOLICITATION NO.</w:t>
            </w:r>
          </w:p>
        </w:tc>
        <w:tc>
          <w:tcPr>
            <w:tcW w:type="dxa" w:w="7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N0024426QS006</w:t>
            </w:r>
          </w:p>
        </w:tc>
      </w:tr>
      <w:tr>
        <w:tc>
          <w:tcPr>
            <w:tcW w:type="dxa" w:w="156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NAICS CODE</w:t>
            </w:r>
          </w:p>
        </w:tc>
        <w:tc>
          <w:tcPr>
            <w:tcW w:type="dxa" w:w="234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611710</w:t>
            </w:r>
          </w:p>
        </w:tc>
        <w:tc>
          <w:tcPr>
            <w:tcW w:type="dxa" w:w="156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SET-ASIDE</w:t>
            </w:r>
          </w:p>
        </w:tc>
        <w:tc>
          <w:tcPr>
            <w:tcW w:type="dxa" w:w="15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100% Small Business</w:t>
            </w:r>
          </w:p>
        </w:tc>
        <w:tc>
          <w:tcPr>
            <w:tcW w:type="dxa" w:w="156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TOTAL AWARD VALUE</w:t>
            </w:r>
          </w:p>
        </w:tc>
        <w:tc>
          <w:tcPr>
            <w:tcW w:type="dxa" w:w="7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$2,847,320.00 (Base + All Options)</w:t>
            </w:r>
          </w:p>
        </w:tc>
      </w:tr>
    </w:tbl>
    <w:p>
      <w:pPr>
        <w:spacing w:after="80" w:before="80"/>
      </w:pPr>
      <w:r>
        <w:rPr>
          <w:rFonts w:ascii="Arial" w:cs="Arial" w:eastAsia="Arial" w:hAnsi="Arial"/>
          <w:b w:val="false"/>
          <w:bCs w:val="false"/>
          <w:sz w:val="20"/>
          <w:szCs w:val="20"/>
        </w:rPr>
        <w:t xml:space="preserve"/>
      </w:r>
    </w:p>
    <w:p>
      <w:pPr>
        <w:spacing w:after="100" w:before="200"/>
      </w:pPr>
      <w:r>
        <w:rPr>
          <w:rFonts w:ascii="Arial" w:cs="Arial" w:eastAsia="Arial" w:hAnsi="Arial"/>
          <w:b/>
          <w:bCs/>
          <w:color w:val="1F3864"/>
          <w:sz w:val="22"/>
          <w:szCs w:val="22"/>
        </w:rPr>
        <w:t xml:space="preserve">ISSUING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Agency:</w:t>
            </w:r>
          </w:p>
        </w:tc>
        <w:tc>
          <w:tcPr>
            <w:tcW w:type="dxa" w:w="75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Naval Supply Fleet Logistics Center, San Diego</w:t>
            </w:r>
          </w:p>
        </w:tc>
      </w:tr>
      <w:tr>
        <w:tc>
          <w:tcPr>
            <w:tcW w:type="dxa" w:w="180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Address:</w:t>
            </w:r>
          </w:p>
        </w:tc>
        <w:tc>
          <w:tcPr>
            <w:tcW w:type="dxa" w:w="75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3985 Cummings Road, Bldg 116, San Diego, CA 92136</w:t>
            </w:r>
          </w:p>
        </w:tc>
      </w:tr>
      <w:tr>
        <w:tc>
          <w:tcPr>
            <w:tcW w:type="dxa" w:w="180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Code:</w:t>
            </w:r>
          </w:p>
        </w:tc>
        <w:tc>
          <w:tcPr>
            <w:tcW w:type="dxa" w:w="75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N00244</w:t>
            </w:r>
          </w:p>
        </w:tc>
      </w:tr>
      <w:tr>
        <w:tc>
          <w:tcPr>
            <w:tcW w:type="dxa" w:w="180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CO:</w:t>
            </w:r>
          </w:p>
        </w:tc>
        <w:tc>
          <w:tcPr>
            <w:tcW w:type="dxa" w:w="75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Noni Arcilla, Contracting Officer</w:t>
            </w:r>
          </w:p>
        </w:tc>
      </w:tr>
      <w:tr>
        <w:tc>
          <w:tcPr>
            <w:tcW w:type="dxa" w:w="180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Phone:</w:t>
            </w:r>
          </w:p>
        </w:tc>
        <w:tc>
          <w:tcPr>
            <w:tcW w:type="dxa" w:w="75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619-556-5662</w:t>
            </w:r>
          </w:p>
        </w:tc>
      </w:tr>
    </w:tbl>
    <w:p>
      <w:pPr>
        <w:spacing w:after="80" w:before="80"/>
      </w:pPr>
      <w:r>
        <w:rPr>
          <w:rFonts w:ascii="Arial" w:cs="Arial" w:eastAsia="Arial" w:hAnsi="Arial"/>
          <w:b w:val="false"/>
          <w:bCs w:val="false"/>
          <w:sz w:val="20"/>
          <w:szCs w:val="20"/>
        </w:rPr>
        <w:t xml:space="preserve"/>
      </w:r>
    </w:p>
    <w:p>
      <w:pPr>
        <w:spacing w:after="100" w:before="200"/>
      </w:pPr>
      <w:r>
        <w:rPr>
          <w:rFonts w:ascii="Arial" w:cs="Arial" w:eastAsia="Arial" w:hAnsi="Arial"/>
          <w:b/>
          <w:bCs/>
          <w:color w:val="1F3864"/>
          <w:sz w:val="22"/>
          <w:szCs w:val="22"/>
        </w:rPr>
        <w:t xml:space="preserve">CONTRACTOR / AWARDEE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Company:</w:t>
            </w:r>
          </w:p>
        </w:tc>
        <w:tc>
          <w:tcPr>
            <w:tcW w:type="dxa" w:w="37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ClearOps Systems LLC</w:t>
            </w:r>
          </w:p>
        </w:tc>
        <w:tc>
          <w:tcPr>
            <w:tcW w:type="dxa" w:w="180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CAGE Code:</w:t>
            </w:r>
          </w:p>
        </w:tc>
        <w:tc>
          <w:tcPr>
            <w:tcW w:type="dxa" w:w="19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9TW42</w:t>
            </w:r>
          </w:p>
        </w:tc>
      </w:tr>
      <w:tr>
        <w:tc>
          <w:tcPr>
            <w:tcW w:type="dxa" w:w="180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Address:</w:t>
            </w:r>
          </w:p>
        </w:tc>
        <w:tc>
          <w:tcPr>
            <w:tcW w:type="dxa" w:w="37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4210 Wilson Blvd, Suite 600, Arlington, VA 22203</w:t>
            </w:r>
          </w:p>
        </w:tc>
        <w:tc>
          <w:tcPr>
            <w:tcW w:type="dxa" w:w="180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DUNS:</w:t>
            </w:r>
          </w:p>
        </w:tc>
        <w:tc>
          <w:tcPr>
            <w:tcW w:type="dxa" w:w="19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078-334-5519</w:t>
            </w:r>
          </w:p>
        </w:tc>
      </w:tr>
      <w:tr>
        <w:tc>
          <w:tcPr>
            <w:tcW w:type="dxa" w:w="180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POC:</w:t>
            </w:r>
          </w:p>
        </w:tc>
        <w:tc>
          <w:tcPr>
            <w:tcW w:type="dxa" w:w="37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Marcus T. Ellison, Program Director</w:t>
            </w:r>
          </w:p>
        </w:tc>
        <w:tc>
          <w:tcPr>
            <w:tcW w:type="dxa" w:w="180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Phone:</w:t>
            </w:r>
          </w:p>
        </w:tc>
        <w:tc>
          <w:tcPr>
            <w:tcW w:type="dxa" w:w="19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(703) 555-0142</w:t>
            </w:r>
          </w:p>
        </w:tc>
      </w:tr>
      <w:tr>
        <w:tc>
          <w:tcPr>
            <w:tcW w:type="dxa" w:w="180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Email:</w:t>
            </w:r>
          </w:p>
        </w:tc>
        <w:tc>
          <w:tcPr>
            <w:tcW w:type="dxa" w:w="37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mellison@clearopssystems.com</w:t>
            </w:r>
          </w:p>
        </w:tc>
        <w:tc>
          <w:tcPr>
            <w:tcW w:type="dxa" w:w="180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Business Size:</w:t>
            </w:r>
          </w:p>
        </w:tc>
        <w:tc>
          <w:tcPr>
            <w:tcW w:type="dxa" w:w="19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Small Business</w:t>
            </w:r>
          </w:p>
        </w:tc>
      </w:tr>
    </w:tbl>
    <w:p>
      <w:pPr>
        <w:spacing w:after="80" w:before="80"/>
      </w:pPr>
      <w:r>
        <w:rPr>
          <w:rFonts w:ascii="Arial" w:cs="Arial" w:eastAsia="Arial" w:hAnsi="Arial"/>
          <w:b w:val="false"/>
          <w:bCs w:val="false"/>
          <w:sz w:val="20"/>
          <w:szCs w:val="20"/>
        </w:rPr>
        <w:t xml:space="preserve"/>
      </w:r>
    </w:p>
    <w:p>
      <w:pPr>
        <w:spacing w:after="100" w:before="200"/>
      </w:pPr>
      <w:r>
        <w:rPr>
          <w:rFonts w:ascii="Arial" w:cs="Arial" w:eastAsia="Arial" w:hAnsi="Arial"/>
          <w:b/>
          <w:bCs/>
          <w:color w:val="1F3864"/>
          <w:sz w:val="22"/>
          <w:szCs w:val="22"/>
        </w:rPr>
        <w:t xml:space="preserve">CONTRACT DESCRIPTION</w:t>
      </w:r>
    </w:p>
    <w:p>
      <w:pPr>
        <w:spacing w:after="80" w:before="80"/>
      </w:pPr>
      <w:r>
        <w:rPr>
          <w:rFonts w:ascii="Arial" w:cs="Arial" w:eastAsia="Arial" w:hAnsi="Arial"/>
          <w:b w:val="false"/>
          <w:bCs w:val="false"/>
          <w:sz w:val="20"/>
          <w:szCs w:val="20"/>
        </w:rPr>
        <w:t xml:space="preserve">ClearOps Systems LLC is awarded a Firm Fixed Price (FFP) contract to provide Virtual Machine (VM) Support Services in support of the Naval Postgraduate School's (NPS) collaboration with the NATO School Oberammergau (NSO). The contractor shall design, develop, deploy, and maintain hands-on cybersecurity training environments delivered via browser-based virtual machines for NATO personnel across multiple advanced cyber security course tracks.</w:t>
      </w:r>
    </w:p>
    <w:p>
      <w:pPr>
        <w:spacing w:after="80" w:before="80"/>
      </w:pPr>
      <w:r>
        <w:rPr>
          <w:rFonts w:ascii="Arial" w:cs="Arial" w:eastAsia="Arial" w:hAnsi="Arial"/>
          <w:b w:val="false"/>
          <w:bCs w:val="false"/>
          <w:sz w:val="20"/>
          <w:szCs w:val="20"/>
        </w:rPr>
        <w:t xml:space="preserve"/>
      </w:r>
    </w:p>
    <w:p>
      <w:pPr>
        <w:spacing w:after="100" w:before="200"/>
      </w:pPr>
      <w:r>
        <w:rPr>
          <w:rFonts w:ascii="Arial" w:cs="Arial" w:eastAsia="Arial" w:hAnsi="Arial"/>
          <w:b/>
          <w:bCs/>
          <w:color w:val="1F3864"/>
          <w:sz w:val="22"/>
          <w:szCs w:val="22"/>
        </w:rPr>
        <w:t xml:space="preserve">CONTRACT LINE ITEMS (CLINs)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860"/>
        <w:gridCol w:w="1560"/>
        <w:gridCol w:w="2160"/>
      </w:tblGrid>
      <w:tr>
        <w:tc>
          <w:tcPr>
            <w:tcW w:type="dxa" w:w="78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CLIN</w:t>
            </w:r>
          </w:p>
        </w:tc>
        <w:tc>
          <w:tcPr>
            <w:tcW w:type="dxa" w:w="486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Description</w:t>
            </w:r>
          </w:p>
        </w:tc>
        <w:tc>
          <w:tcPr>
            <w:tcW w:type="dxa" w:w="156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Type</w:t>
            </w:r>
          </w:p>
        </w:tc>
        <w:tc>
          <w:tcPr>
            <w:tcW w:type="dxa" w:w="216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Price</w:t>
            </w:r>
          </w:p>
        </w:tc>
      </w:tr>
      <w:tr>
        <w:tc>
          <w:tcPr>
            <w:tcW w:type="dxa" w:w="7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0001</w:t>
            </w:r>
          </w:p>
        </w:tc>
        <w:tc>
          <w:tcPr>
            <w:tcW w:type="dxa" w:w="48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VM Support Services – Base Year (incl. development, instructional guides, course instruction support)</w:t>
            </w:r>
          </w:p>
        </w:tc>
        <w:tc>
          <w:tcPr>
            <w:tcW w:type="dxa" w:w="15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FFP</w:t>
            </w:r>
          </w:p>
        </w:tc>
        <w:tc>
          <w:tcPr>
            <w:tcW w:type="dxa" w:w="21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$487,200.00</w:t>
            </w:r>
          </w:p>
        </w:tc>
      </w:tr>
      <w:tr>
        <w:tc>
          <w:tcPr>
            <w:tcW w:type="dxa" w:w="7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0002</w:t>
            </w:r>
          </w:p>
        </w:tc>
        <w:tc>
          <w:tcPr>
            <w:tcW w:type="dxa" w:w="48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Travel – Base Year</w:t>
            </w:r>
          </w:p>
        </w:tc>
        <w:tc>
          <w:tcPr>
            <w:tcW w:type="dxa" w:w="15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FFP</w:t>
            </w:r>
          </w:p>
        </w:tc>
        <w:tc>
          <w:tcPr>
            <w:tcW w:type="dxa" w:w="21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$18,400.00</w:t>
            </w:r>
          </w:p>
        </w:tc>
      </w:tr>
      <w:tr>
        <w:tc>
          <w:tcPr>
            <w:tcW w:type="dxa" w:w="7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0003</w:t>
            </w:r>
          </w:p>
        </w:tc>
        <w:tc>
          <w:tcPr>
            <w:tcW w:type="dxa" w:w="48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Contract Data Requirements List (CDRL) – Base Year (NSP)</w:t>
            </w:r>
          </w:p>
        </w:tc>
        <w:tc>
          <w:tcPr>
            <w:tcW w:type="dxa" w:w="15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FFP</w:t>
            </w:r>
          </w:p>
        </w:tc>
        <w:tc>
          <w:tcPr>
            <w:tcW w:type="dxa" w:w="21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NSP</w:t>
            </w:r>
          </w:p>
        </w:tc>
      </w:tr>
      <w:tr>
        <w:tc>
          <w:tcPr>
            <w:tcW w:type="dxa" w:w="7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1001-4001</w:t>
            </w:r>
          </w:p>
        </w:tc>
        <w:tc>
          <w:tcPr>
            <w:tcW w:type="dxa" w:w="48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VM Support Services – Option Years 1-4 (activation + course instruction support)</w:t>
            </w:r>
          </w:p>
        </w:tc>
        <w:tc>
          <w:tcPr>
            <w:tcW w:type="dxa" w:w="15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FFP</w:t>
            </w:r>
          </w:p>
        </w:tc>
        <w:tc>
          <w:tcPr>
            <w:tcW w:type="dxa" w:w="21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$2,218,200.00</w:t>
            </w:r>
          </w:p>
        </w:tc>
      </w:tr>
      <w:tr>
        <w:tc>
          <w:tcPr>
            <w:tcW w:type="dxa" w:w="7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1002-4002</w:t>
            </w:r>
          </w:p>
        </w:tc>
        <w:tc>
          <w:tcPr>
            <w:tcW w:type="dxa" w:w="48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Travel – Option Years 1-4</w:t>
            </w:r>
          </w:p>
        </w:tc>
        <w:tc>
          <w:tcPr>
            <w:tcW w:type="dxa" w:w="15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FFP</w:t>
            </w:r>
          </w:p>
        </w:tc>
        <w:tc>
          <w:tcPr>
            <w:tcW w:type="dxa" w:w="21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$123,520.00</w:t>
            </w:r>
          </w:p>
        </w:tc>
      </w:tr>
      <w:tr>
        <w:tc>
          <w:tcPr>
            <w:tcW w:type="dxa" w:w="78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TOTAL</w:t>
            </w:r>
          </w:p>
        </w:tc>
        <w:tc>
          <w:tcPr>
            <w:tcW w:type="dxa" w:w="48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All Periods of Performance (Base + Options 1-4)</w:t>
            </w:r>
          </w:p>
        </w:tc>
        <w:tc>
          <w:tcPr>
            <w:tcW w:type="dxa" w:w="15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w:r>
          </w:p>
        </w:tc>
        <w:tc>
          <w:tcPr>
            <w:tcW w:type="dxa" w:w="216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$2,847,320.00</w:t>
            </w:r>
          </w:p>
        </w:tc>
      </w:tr>
    </w:tbl>
    <w:p>
      <w:pPr>
        <w:spacing w:after="80" w:before="80"/>
      </w:pPr>
      <w:r>
        <w:rPr>
          <w:rFonts w:ascii="Arial" w:cs="Arial" w:eastAsia="Arial" w:hAnsi="Arial"/>
          <w:b w:val="false"/>
          <w:bCs w:val="false"/>
          <w:sz w:val="20"/>
          <w:szCs w:val="20"/>
        </w:rPr>
        <w:t xml:space="preserve"/>
      </w:r>
    </w:p>
    <w:p>
      <w:pPr>
        <w:spacing w:after="100" w:before="200"/>
      </w:pPr>
      <w:r>
        <w:rPr>
          <w:rFonts w:ascii="Arial" w:cs="Arial" w:eastAsia="Arial" w:hAnsi="Arial"/>
          <w:b/>
          <w:bCs/>
          <w:color w:val="1F3864"/>
          <w:sz w:val="22"/>
          <w:szCs w:val="22"/>
        </w:rPr>
        <w:t xml:space="preserve">PERIOD OF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Period</w:t>
            </w:r>
          </w:p>
        </w:tc>
        <w:tc>
          <w:tcPr>
            <w:tcW w:type="dxa" w:w="351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Start Date</w:t>
            </w:r>
          </w:p>
        </w:tc>
        <w:tc>
          <w:tcPr>
            <w:tcW w:type="dxa" w:w="3510"/>
            <w:gridSpan w:val="1"/>
            <w:tcBorders>
              <w:top w:val="single" w:color="999999" w:sz="4"/>
              <w:left w:val="single" w:color="999999" w:sz="4"/>
              <w:bottom w:val="single" w:color="999999" w:sz="4"/>
              <w:right w:val="single" w:color="999999" w:sz="4"/>
            </w:tcBorders>
            <w:shd w:fill="D6E4F0" w:val="clear"/>
            <w:tcMar>
              <w:top w:type="dxa" w:w="60"/>
              <w:left w:type="dxa" w:w="100"/>
              <w:bottom w:type="dxa" w:w="60"/>
              <w:right w:type="dxa" w:w="100"/>
            </w:tcMar>
          </w:tcPr>
          <w:p>
            <w:pPr>
              <w:jc w:val="left"/>
            </w:pPr>
            <w:r>
              <w:rPr>
                <w:rFonts w:ascii="Arial" w:cs="Arial" w:eastAsia="Arial" w:hAnsi="Arial"/>
                <w:b/>
                <w:bCs/>
                <w:sz w:val="18"/>
                <w:szCs w:val="18"/>
              </w:rPr>
              <w:t xml:space="preserve">End Date</w:t>
            </w:r>
          </w:p>
        </w:tc>
      </w:tr>
      <w:tr>
        <w:tc>
          <w:tcPr>
            <w:tcW w:type="dxa" w:w="234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Base Year</w:t>
            </w:r>
          </w:p>
        </w:tc>
        <w:tc>
          <w:tcPr>
            <w:tcW w:type="dxa" w:w="351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31 March 2026</w:t>
            </w:r>
          </w:p>
        </w:tc>
        <w:tc>
          <w:tcPr>
            <w:tcW w:type="dxa" w:w="351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30 March 2027</w:t>
            </w:r>
          </w:p>
        </w:tc>
      </w:tr>
      <w:tr>
        <w:tc>
          <w:tcPr>
            <w:tcW w:type="dxa" w:w="234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Option Year 1</w:t>
            </w:r>
          </w:p>
        </w:tc>
        <w:tc>
          <w:tcPr>
            <w:tcW w:type="dxa" w:w="351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31 March 2027</w:t>
            </w:r>
          </w:p>
        </w:tc>
        <w:tc>
          <w:tcPr>
            <w:tcW w:type="dxa" w:w="351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30 March 2028</w:t>
            </w:r>
          </w:p>
        </w:tc>
      </w:tr>
      <w:tr>
        <w:tc>
          <w:tcPr>
            <w:tcW w:type="dxa" w:w="234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Option Year 2</w:t>
            </w:r>
          </w:p>
        </w:tc>
        <w:tc>
          <w:tcPr>
            <w:tcW w:type="dxa" w:w="351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31 March 2028</w:t>
            </w:r>
          </w:p>
        </w:tc>
        <w:tc>
          <w:tcPr>
            <w:tcW w:type="dxa" w:w="351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30 March 2029</w:t>
            </w:r>
          </w:p>
        </w:tc>
      </w:tr>
      <w:tr>
        <w:tc>
          <w:tcPr>
            <w:tcW w:type="dxa" w:w="234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Option Year 3</w:t>
            </w:r>
          </w:p>
        </w:tc>
        <w:tc>
          <w:tcPr>
            <w:tcW w:type="dxa" w:w="351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31 March 2029</w:t>
            </w:r>
          </w:p>
        </w:tc>
        <w:tc>
          <w:tcPr>
            <w:tcW w:type="dxa" w:w="351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30 March 2030</w:t>
            </w:r>
          </w:p>
        </w:tc>
      </w:tr>
      <w:tr>
        <w:tc>
          <w:tcPr>
            <w:tcW w:type="dxa" w:w="234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Option Year 4</w:t>
            </w:r>
          </w:p>
        </w:tc>
        <w:tc>
          <w:tcPr>
            <w:tcW w:type="dxa" w:w="351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31 March 2030</w:t>
            </w:r>
          </w:p>
        </w:tc>
        <w:tc>
          <w:tcPr>
            <w:tcW w:type="dxa" w:w="351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30 March 2031</w:t>
            </w:r>
          </w:p>
        </w:tc>
      </w:tr>
    </w:tbl>
    <w:p>
      <w:pPr>
        <w:spacing w:after="80" w:before="80"/>
      </w:pPr>
      <w:r>
        <w:rPr>
          <w:rFonts w:ascii="Arial" w:cs="Arial" w:eastAsia="Arial" w:hAnsi="Arial"/>
          <w:b w:val="false"/>
          <w:bCs w:val="false"/>
          <w:sz w:val="20"/>
          <w:szCs w:val="20"/>
        </w:rPr>
        <w:t xml:space="preserve"/>
      </w:r>
    </w:p>
    <w:p>
      <w:pPr>
        <w:spacing w:after="100" w:before="200"/>
      </w:pPr>
      <w:r>
        <w:rPr>
          <w:rFonts w:ascii="Arial" w:cs="Arial" w:eastAsia="Arial" w:hAnsi="Arial"/>
          <w:b/>
          <w:bCs/>
          <w:color w:val="1F3864"/>
          <w:sz w:val="22"/>
          <w:szCs w:val="22"/>
        </w:rPr>
        <w:t xml:space="preserve">PLACE OF PERFORMANCE</w:t>
      </w:r>
    </w:p>
    <w:p>
      <w:pPr>
        <w:spacing w:after="80" w:before="80"/>
      </w:pPr>
      <w:r>
        <w:rPr>
          <w:rFonts w:ascii="Arial" w:cs="Arial" w:eastAsia="Arial" w:hAnsi="Arial"/>
          <w:b w:val="false"/>
          <w:bCs w:val="false"/>
          <w:sz w:val="20"/>
          <w:szCs w:val="20"/>
        </w:rPr>
        <w:t xml:space="preserve">Primary: Contractor's facility — 4210 Wilson Blvd, Suite 600, Arlington, VA 22203</w:t>
      </w:r>
    </w:p>
    <w:p>
      <w:pPr>
        <w:spacing w:after="80" w:before="80"/>
      </w:pPr>
      <w:r>
        <w:rPr>
          <w:rFonts w:ascii="Arial" w:cs="Arial" w:eastAsia="Arial" w:hAnsi="Arial"/>
          <w:b w:val="false"/>
          <w:bCs w:val="false"/>
          <w:sz w:val="20"/>
          <w:szCs w:val="20"/>
        </w:rPr>
        <w:t xml:space="preserve">Travel (as required): NATO School Oberammergau, Oberammergau, Germany (up to 1 trip per year per Section 10.0 of PWS).</w:t>
      </w:r>
    </w:p>
    <w:p>
      <w:pPr>
        <w:spacing w:after="80" w:before="80"/>
      </w:pPr>
      <w:r>
        <w:rPr>
          <w:rFonts w:ascii="Arial" w:cs="Arial" w:eastAsia="Arial" w:hAnsi="Arial"/>
          <w:b w:val="false"/>
          <w:bCs w:val="false"/>
          <w:sz w:val="20"/>
          <w:szCs w:val="20"/>
        </w:rPr>
        <w:t xml:space="preserve"/>
      </w:r>
    </w:p>
    <w:p>
      <w:pPr>
        <w:spacing w:after="100" w:before="200"/>
      </w:pPr>
      <w:r>
        <w:rPr>
          <w:rFonts w:ascii="Arial" w:cs="Arial" w:eastAsia="Arial" w:hAnsi="Arial"/>
          <w:b/>
          <w:bCs/>
          <w:color w:val="1F3864"/>
          <w:sz w:val="22"/>
          <w:szCs w:val="22"/>
        </w:rPr>
        <w:t xml:space="preserve">KEY CONTRACT REQUIREMENTS</w:t>
      </w:r>
    </w:p>
    <w:p>
      <w:pPr>
        <w:spacing w:after="80" w:before="80"/>
      </w:pPr>
      <w:r>
        <w:rPr>
          <w:rFonts w:ascii="Arial" w:cs="Arial" w:eastAsia="Arial" w:hAnsi="Arial"/>
          <w:b w:val="false"/>
          <w:bCs w:val="false"/>
          <w:sz w:val="20"/>
          <w:szCs w:val="20"/>
        </w:rPr>
        <w:t xml:space="preserve">• VM environments must be 100% browser-based (Chrome, Firefox, Safari, Edge) with no local software installation required.</w:t>
      </w:r>
    </w:p>
    <w:p>
      <w:pPr>
        <w:spacing w:after="80" w:before="80"/>
      </w:pPr>
      <w:r>
        <w:rPr>
          <w:rFonts w:ascii="Arial" w:cs="Arial" w:eastAsia="Arial" w:hAnsi="Arial"/>
          <w:b w:val="false"/>
          <w:bCs w:val="false"/>
          <w:sz w:val="20"/>
          <w:szCs w:val="20"/>
        </w:rPr>
        <w:t xml:space="preserve">• Maximum measured response time of 90ms for class participants located in Europe, Middle East, and Far East Asia.</w:t>
      </w:r>
    </w:p>
    <w:p>
      <w:pPr>
        <w:spacing w:after="80" w:before="80"/>
      </w:pPr>
      <w:r>
        <w:rPr>
          <w:rFonts w:ascii="Arial" w:cs="Arial" w:eastAsia="Arial" w:hAnsi="Arial"/>
          <w:b w:val="false"/>
          <w:bCs w:val="false"/>
          <w:sz w:val="20"/>
          <w:szCs w:val="20"/>
        </w:rPr>
        <w:t xml:space="preserve">• VM environments must maintain 96% availability throughout each course cycle.</w:t>
      </w:r>
    </w:p>
    <w:p>
      <w:pPr>
        <w:spacing w:after="80" w:before="80"/>
      </w:pPr>
      <w:r>
        <w:rPr>
          <w:rFonts w:ascii="Arial" w:cs="Arial" w:eastAsia="Arial" w:hAnsi="Arial"/>
          <w:b w:val="false"/>
          <w:bCs w:val="false"/>
          <w:sz w:val="20"/>
          <w:szCs w:val="20"/>
        </w:rPr>
        <w:t xml:space="preserve">• All contractor personnel performing work under this contract must be U.S. citizens.</w:t>
      </w:r>
    </w:p>
    <w:p>
      <w:pPr>
        <w:spacing w:after="80" w:before="80"/>
      </w:pPr>
      <w:r>
        <w:rPr>
          <w:rFonts w:ascii="Arial" w:cs="Arial" w:eastAsia="Arial" w:hAnsi="Arial"/>
          <w:b w:val="false"/>
          <w:bCs w:val="false"/>
          <w:sz w:val="20"/>
          <w:szCs w:val="20"/>
        </w:rPr>
        <w:t xml:space="preserve">• 24-hour SME coverage required during in-residence class weeks; 8-hour email response during non-in-class weeks.</w:t>
      </w:r>
    </w:p>
    <w:p>
      <w:pPr>
        <w:spacing w:after="80" w:before="80"/>
      </w:pPr>
      <w:r>
        <w:rPr>
          <w:rFonts w:ascii="Arial" w:cs="Arial" w:eastAsia="Arial" w:hAnsi="Arial"/>
          <w:b w:val="false"/>
          <w:bCs w:val="false"/>
          <w:sz w:val="20"/>
          <w:szCs w:val="20"/>
        </w:rPr>
        <w:t xml:space="preserve">• All updates must address 100% of faculty and student feedback items designated as "critical" or "high priority."</w:t>
      </w:r>
    </w:p>
    <w:p>
      <w:pPr>
        <w:spacing w:after="80" w:before="80"/>
      </w:pPr>
      <w:r>
        <w:rPr>
          <w:rFonts w:ascii="Arial" w:cs="Arial" w:eastAsia="Arial" w:hAnsi="Arial"/>
          <w:b w:val="false"/>
          <w:bCs w:val="false"/>
          <w:sz w:val="20"/>
          <w:szCs w:val="20"/>
        </w:rPr>
        <w:t xml:space="preserve"/>
      </w:r>
    </w:p>
    <w:p>
      <w:pPr>
        <w:spacing w:after="100" w:before="200"/>
      </w:pPr>
      <w:r>
        <w:rPr>
          <w:rFonts w:ascii="Arial" w:cs="Arial" w:eastAsia="Arial" w:hAnsi="Arial"/>
          <w:b/>
          <w:bCs/>
          <w:color w:val="1F3864"/>
          <w:sz w:val="22"/>
          <w:szCs w:val="22"/>
        </w:rPr>
        <w:t xml:space="preserve">CONTRACTING OFFICER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tcMar>
              <w:top w:type="dxa" w:w="120"/>
              <w:left w:type="dxa" w:w="120"/>
              <w:bottom w:type="dxa" w:w="300"/>
              <w:right w:type="dxa" w:w="120"/>
            </w:tcMar>
          </w:tcPr>
          <w:p>
            <w:r>
              <w:rPr>
                <w:rFonts w:ascii="Arial" w:cs="Arial" w:eastAsia="Arial" w:hAnsi="Arial"/>
                <w:b/>
                <w:bCs/>
                <w:sz w:val="18"/>
                <w:szCs w:val="18"/>
              </w:rPr>
              <w:t xml:space="preserve">Signature of Contracting Officer:</w:t>
            </w:r>
          </w:p>
          <w:p>
            <w:pPr>
              <w:spacing w:before="200"/>
            </w:pPr>
            <w:r>
              <w:rPr>
                <w:rFonts w:ascii="Arial" w:cs="Arial" w:eastAsia="Arial" w:hAnsi="Arial"/>
                <w:i/>
                <w:iCs/>
                <w:sz w:val="20"/>
                <w:szCs w:val="20"/>
              </w:rPr>
              <w:t xml:space="preserve">Noni Arcilla</w:t>
            </w:r>
          </w:p>
          <w:p>
            <w:r>
              <w:rPr>
                <w:rFonts w:ascii="Arial" w:cs="Arial" w:eastAsia="Arial" w:hAnsi="Arial"/>
                <w:sz w:val="18"/>
                <w:szCs w:val="18"/>
              </w:rPr>
              <w:t xml:space="preserve">Noni Arcilla, Contracting Officer</w:t>
            </w:r>
          </w:p>
          <w:p>
            <w:r>
              <w:rPr>
                <w:rFonts w:ascii="Arial" w:cs="Arial" w:eastAsia="Arial" w:hAnsi="Arial"/>
                <w:sz w:val="18"/>
                <w:szCs w:val="18"/>
              </w:rPr>
              <w:t xml:space="preserve">NAVSUP FLT LOG CTR SAN DIEGO</w:t>
            </w:r>
          </w:p>
        </w:tc>
        <w:tc>
          <w:tcPr>
            <w:tcW w:type="dxa" w:w="4680"/>
            <w:tcBorders>
              <w:top w:val="single" w:color="999999" w:sz="4"/>
              <w:left w:val="single" w:color="999999" w:sz="4"/>
              <w:bottom w:val="single" w:color="999999" w:sz="4"/>
              <w:right w:val="single" w:color="999999" w:sz="4"/>
            </w:tcBorders>
            <w:tcMar>
              <w:top w:type="dxa" w:w="120"/>
              <w:left w:type="dxa" w:w="120"/>
              <w:bottom w:type="dxa" w:w="300"/>
              <w:right w:type="dxa" w:w="120"/>
            </w:tcMar>
          </w:tcPr>
          <w:p>
            <w:r>
              <w:rPr>
                <w:rFonts w:ascii="Arial" w:cs="Arial" w:eastAsia="Arial" w:hAnsi="Arial"/>
                <w:b/>
                <w:bCs/>
                <w:sz w:val="18"/>
                <w:szCs w:val="18"/>
              </w:rPr>
              <w:t xml:space="preserve">Date Signed:</w:t>
            </w:r>
          </w:p>
          <w:p>
            <w:pPr>
              <w:spacing w:before="200"/>
            </w:pPr>
            <w:r>
              <w:rPr>
                <w:rFonts w:ascii="Arial" w:cs="Arial" w:eastAsia="Arial" w:hAnsi="Arial"/>
                <w:sz w:val="20"/>
                <w:szCs w:val="20"/>
              </w:rPr>
              <w:t xml:space="preserve">28 March 2026</w:t>
            </w:r>
          </w:p>
          <w:p>
            <w:r>
              <w:rPr>
                <w:rFonts w:ascii="Arial" w:cs="Arial" w:eastAsia="Arial" w:hAnsi="Arial"/>
                <w:sz w:val="18"/>
                <w:szCs w:val="18"/>
              </w:rPr>
              <w:t xml:space="preserve">Contract Number: N0024426C0087</w:t>
            </w:r>
          </w:p>
          <w:p>
            <w:r>
              <w:rPr>
                <w:rFonts w:ascii="Arial" w:cs="Arial" w:eastAsia="Arial" w:hAnsi="Arial"/>
                <w:sz w:val="18"/>
                <w:szCs w:val="18"/>
              </w:rPr>
              <w:t xml:space="preserve">Solicitation: N0024426QS006</w:t>
            </w:r>
          </w:p>
        </w:tc>
      </w:tr>
    </w:tbl>
    <w:p>
      <w:pPr>
        <w:spacing w:after="80" w:before="80"/>
      </w:pPr>
      <w:r>
        <w:rPr>
          <w:rFonts w:ascii="Arial" w:cs="Arial" w:eastAsia="Arial" w:hAnsi="Arial"/>
          <w:b w:val="false"/>
          <w:bCs w:val="false"/>
          <w:sz w:val="20"/>
          <w:szCs w:val="20"/>
        </w:rPr>
        <w:t xml:space="preserve"/>
      </w:r>
    </w:p>
    <w:p>
      <w:pPr>
        <w:jc w:val="center"/>
      </w:pPr>
      <w:r>
        <w:rPr>
          <w:rFonts w:ascii="Arial" w:cs="Arial" w:eastAsia="Arial" w:hAnsi="Arial"/>
          <w:b/>
          <w:bCs/>
          <w:color w:val="666666"/>
          <w:sz w:val="16"/>
          <w:szCs w:val="16"/>
        </w:rPr>
        <w:t xml:space="preserve">THIS DOCUMENT CONSTITUTES A BINDING AGREEMENT BETWEEN THE UNITED STATES GOVERNMENT AND CLEAROPS SYSTEMS LLC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2026-04-26T18:41:56.768Z</dcterms:created>
  <dcterms:modified xsi:type="dcterms:W3CDTF">2026-04-26T18:41:56.769Z</dcterms:modified>
</cp:coreProperties>
</file>

<file path=docProps/custom.xml><?xml version="1.0" encoding="utf-8"?>
<Properties xmlns="http://schemas.openxmlformats.org/officeDocument/2006/custom-properties" xmlns:vt="http://schemas.openxmlformats.org/officeDocument/2006/docPropsVTypes"/>
</file>