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jc w:val="center"/>
      </w:pPr>
      <w:r>
        <w:rPr>
          <w:rFonts w:ascii="Arial" w:hAnsi="Arial"/>
          <w:b/>
          <w:sz w:val="26"/>
        </w:rPr>
        <w:t>CONTRACTOR PERFORMANCE ASSESSMENT REPORT (CPAR)</w:t>
      </w:r>
    </w:p>
    <w:p>
      <w:pPr>
        <w:spacing w:before="0" w:after="240"/>
        <w:jc w:val="center"/>
      </w:pPr>
      <w:r>
        <w:rPr>
          <w:rFonts w:ascii="Arial" w:hAnsi="Arial"/>
          <w:color w:val="666666"/>
          <w:sz w:val="18"/>
        </w:rPr>
        <w:t>Report Type: Interim  |  Period of Performance: 01 Oct 2025 – 31 Mar 2026</w:t>
      </w:r>
    </w:p>
    <w:p>
      <w:pPr>
        <w:spacing w:before="160" w:after="160"/>
        <w:pBdr>
          <w:bottom w:val="single" w:sz="4" w:space="1" w:color="AAAAAA"/>
        </w:pBdr>
      </w:pPr>
    </w:p>
    <w:p>
      <w:pPr>
        <w:spacing w:before="160" w:after="80"/>
      </w:pPr>
      <w:r>
        <w:rPr>
          <w:rFonts w:ascii="Arial" w:hAnsi="Arial"/>
          <w:b/>
          <w:color w:val="333360"/>
          <w:sz w:val="22"/>
        </w:rPr>
        <w:t>Block 1–17: Contract Registration Information</w:t>
      </w:r>
    </w:p>
    <w:p>
      <w:pPr>
        <w:spacing w:before="40" w:after="40"/>
      </w:pPr>
      <w:r>
        <w:rPr>
          <w:rFonts w:ascii="Arial" w:hAnsi="Arial"/>
          <w:b/>
          <w:sz w:val="20"/>
        </w:rPr>
        <w:t xml:space="preserve">Contract Number: </w:t>
      </w:r>
      <w:r>
        <w:rPr>
          <w:rFonts w:ascii="Arial" w:hAnsi="Arial"/>
          <w:sz w:val="20"/>
        </w:rPr>
        <w:t>N0018926C0047</w:t>
      </w:r>
    </w:p>
    <w:p>
      <w:pPr>
        <w:spacing w:before="40" w:after="40"/>
      </w:pPr>
      <w:r>
        <w:rPr>
          <w:rFonts w:ascii="Arial" w:hAnsi="Arial"/>
          <w:b/>
          <w:sz w:val="20"/>
        </w:rPr>
        <w:t xml:space="preserve">Solicitation Number: </w:t>
      </w:r>
      <w:r>
        <w:rPr>
          <w:rFonts w:ascii="Arial" w:hAnsi="Arial"/>
          <w:sz w:val="20"/>
        </w:rPr>
        <w:t>N0018926RW014</w:t>
      </w:r>
    </w:p>
    <w:p>
      <w:pPr>
        <w:spacing w:before="40" w:after="40"/>
      </w:pPr>
      <w:r>
        <w:rPr>
          <w:rFonts w:ascii="Arial" w:hAnsi="Arial"/>
          <w:b/>
          <w:sz w:val="20"/>
        </w:rPr>
        <w:t xml:space="preserve">Contractor Name: </w:t>
      </w:r>
      <w:r>
        <w:rPr>
          <w:rFonts w:ascii="Arial" w:hAnsi="Arial"/>
          <w:sz w:val="20"/>
        </w:rPr>
        <w:t>Tidewater Engineering &amp; Construction Group, LLC</w:t>
      </w:r>
    </w:p>
    <w:p>
      <w:pPr>
        <w:spacing w:before="40" w:after="40"/>
      </w:pPr>
      <w:r>
        <w:rPr>
          <w:rFonts w:ascii="Arial" w:hAnsi="Arial"/>
          <w:b/>
          <w:sz w:val="20"/>
        </w:rPr>
        <w:t xml:space="preserve">CAGE Code: </w:t>
      </w:r>
      <w:r>
        <w:rPr>
          <w:rFonts w:ascii="Arial" w:hAnsi="Arial"/>
          <w:sz w:val="20"/>
        </w:rPr>
        <w:t>8HVK2</w:t>
      </w:r>
    </w:p>
    <w:p>
      <w:pPr>
        <w:spacing w:before="40" w:after="40"/>
      </w:pPr>
      <w:r>
        <w:rPr>
          <w:rFonts w:ascii="Arial" w:hAnsi="Arial"/>
          <w:b/>
          <w:sz w:val="20"/>
        </w:rPr>
        <w:t xml:space="preserve">DUNS/UEI: </w:t>
      </w:r>
      <w:r>
        <w:rPr>
          <w:rFonts w:ascii="Arial" w:hAnsi="Arial"/>
          <w:sz w:val="20"/>
        </w:rPr>
        <w:t>117843920</w:t>
      </w:r>
    </w:p>
    <w:p>
      <w:pPr>
        <w:spacing w:before="40" w:after="40"/>
      </w:pPr>
      <w:r>
        <w:rPr>
          <w:rFonts w:ascii="Arial" w:hAnsi="Arial"/>
          <w:b/>
          <w:sz w:val="20"/>
        </w:rPr>
        <w:t xml:space="preserve">NAICS Code: </w:t>
      </w:r>
      <w:r>
        <w:rPr>
          <w:rFonts w:ascii="Arial" w:hAnsi="Arial"/>
          <w:sz w:val="20"/>
        </w:rPr>
        <w:t>541330 – Engineering Services</w:t>
      </w:r>
    </w:p>
    <w:p>
      <w:pPr>
        <w:spacing w:before="40" w:after="40"/>
      </w:pPr>
      <w:r>
        <w:rPr>
          <w:rFonts w:ascii="Arial" w:hAnsi="Arial"/>
          <w:b/>
          <w:sz w:val="20"/>
        </w:rPr>
        <w:t xml:space="preserve">Business Sector: </w:t>
      </w:r>
      <w:r>
        <w:rPr>
          <w:rFonts w:ascii="Arial" w:hAnsi="Arial"/>
          <w:sz w:val="20"/>
        </w:rPr>
        <w:t>Systems / Non-Systems (Construction)</w:t>
      </w:r>
    </w:p>
    <w:p>
      <w:pPr>
        <w:spacing w:before="40" w:after="40"/>
      </w:pPr>
      <w:r>
        <w:rPr>
          <w:rFonts w:ascii="Arial" w:hAnsi="Arial"/>
          <w:b/>
          <w:sz w:val="20"/>
        </w:rPr>
        <w:t xml:space="preserve">Contract Type: </w:t>
      </w:r>
      <w:r>
        <w:rPr>
          <w:rFonts w:ascii="Arial" w:hAnsi="Arial"/>
          <w:sz w:val="20"/>
        </w:rPr>
        <w:t>Firm Fixed Price (FFP)</w:t>
      </w:r>
    </w:p>
    <w:p>
      <w:pPr>
        <w:spacing w:before="40" w:after="40"/>
      </w:pPr>
      <w:r>
        <w:rPr>
          <w:rFonts w:ascii="Arial" w:hAnsi="Arial"/>
          <w:b/>
          <w:sz w:val="20"/>
        </w:rPr>
        <w:t xml:space="preserve">Issued By: </w:t>
      </w:r>
      <w:r>
        <w:rPr>
          <w:rFonts w:ascii="Arial" w:hAnsi="Arial"/>
          <w:sz w:val="20"/>
        </w:rPr>
        <w:t>NAVSUP FLT LOG CTR Norfolk, Code 301, 1968 Gilbert Street Suite 600, Norfolk VA 23511-3392</w:t>
      </w:r>
    </w:p>
    <w:p>
      <w:pPr>
        <w:spacing w:before="40" w:after="40"/>
      </w:pPr>
      <w:r>
        <w:rPr>
          <w:rFonts w:ascii="Arial" w:hAnsi="Arial"/>
          <w:b/>
          <w:sz w:val="20"/>
        </w:rPr>
        <w:t xml:space="preserve">Contracting Officer: </w:t>
      </w:r>
      <w:r>
        <w:rPr>
          <w:rFonts w:ascii="Arial" w:hAnsi="Arial"/>
          <w:sz w:val="20"/>
        </w:rPr>
        <w:t>Nicholas Stewart, N00189, 771-229-3552</w:t>
      </w:r>
    </w:p>
    <w:p>
      <w:pPr>
        <w:spacing w:before="40" w:after="40"/>
      </w:pPr>
      <w:r>
        <w:rPr>
          <w:rFonts w:ascii="Arial" w:hAnsi="Arial"/>
          <w:b/>
          <w:sz w:val="20"/>
        </w:rPr>
        <w:t xml:space="preserve">COR / Assessing Official: </w:t>
      </w:r>
      <w:r>
        <w:rPr>
          <w:rFonts w:ascii="Arial" w:hAnsi="Arial"/>
          <w:sz w:val="20"/>
        </w:rPr>
        <w:t>CDR James R. Holloway, NAVSUP FLC Norfolk, Code 300</w:t>
      </w:r>
    </w:p>
    <w:p>
      <w:pPr>
        <w:spacing w:before="40" w:after="40"/>
      </w:pPr>
      <w:r>
        <w:rPr>
          <w:rFonts w:ascii="Arial" w:hAnsi="Arial"/>
          <w:b/>
          <w:sz w:val="20"/>
        </w:rPr>
        <w:t xml:space="preserve">Awarded Value: </w:t>
      </w:r>
      <w:r>
        <w:rPr>
          <w:rFonts w:ascii="Arial" w:hAnsi="Arial"/>
          <w:sz w:val="20"/>
        </w:rPr>
        <w:t>$38,750,000.00</w:t>
      </w:r>
    </w:p>
    <w:p>
      <w:pPr>
        <w:spacing w:before="40" w:after="40"/>
      </w:pPr>
      <w:r>
        <w:rPr>
          <w:rFonts w:ascii="Arial" w:hAnsi="Arial"/>
          <w:b/>
          <w:sz w:val="20"/>
        </w:rPr>
        <w:t xml:space="preserve">Current Contract Value: </w:t>
      </w:r>
      <w:r>
        <w:rPr>
          <w:rFonts w:ascii="Arial" w:hAnsi="Arial"/>
          <w:sz w:val="20"/>
        </w:rPr>
        <w:t>$38,750,000.00</w:t>
      </w:r>
    </w:p>
    <w:p>
      <w:pPr>
        <w:spacing w:before="40" w:after="40"/>
      </w:pPr>
      <w:r>
        <w:rPr>
          <w:rFonts w:ascii="Arial" w:hAnsi="Arial"/>
          <w:b/>
          <w:sz w:val="20"/>
        </w:rPr>
        <w:t xml:space="preserve">Contract Completion Date: </w:t>
      </w:r>
      <w:r>
        <w:rPr>
          <w:rFonts w:ascii="Arial" w:hAnsi="Arial"/>
          <w:sz w:val="20"/>
        </w:rPr>
        <w:t>15 December 2027 (including all option periods)</w:t>
      </w:r>
    </w:p>
    <w:p>
      <w:pPr>
        <w:spacing w:before="40" w:after="40"/>
      </w:pPr>
      <w:r>
        <w:rPr>
          <w:rFonts w:ascii="Arial" w:hAnsi="Arial"/>
          <w:b/>
          <w:sz w:val="20"/>
        </w:rPr>
        <w:t xml:space="preserve">Location of Performance: </w:t>
      </w:r>
      <w:r>
        <w:rPr>
          <w:rFonts w:ascii="Arial" w:hAnsi="Arial"/>
          <w:sz w:val="20"/>
        </w:rPr>
        <w:t>Naval Station Norfolk, Norfolk, VA 23511</w:t>
      </w:r>
    </w:p>
    <w:p>
      <w:pPr>
        <w:spacing w:before="40" w:after="40"/>
      </w:pPr>
      <w:r>
        <w:rPr>
          <w:rFonts w:ascii="Arial" w:hAnsi="Arial"/>
          <w:b/>
          <w:sz w:val="20"/>
        </w:rPr>
        <w:t xml:space="preserve">Set-Aside: </w:t>
      </w:r>
      <w:r>
        <w:rPr>
          <w:rFonts w:ascii="Arial" w:hAnsi="Arial"/>
          <w:sz w:val="20"/>
        </w:rPr>
        <w:t>Service-Disabled Veteran-Owned Small Business (SDVOSB) – 100%</w:t>
      </w:r>
    </w:p>
    <w:p>
      <w:pPr>
        <w:spacing w:before="160" w:after="160"/>
        <w:pBdr>
          <w:bottom w:val="single" w:sz="4" w:space="1" w:color="AAAAAA"/>
        </w:pBdr>
      </w:pPr>
    </w:p>
    <w:p>
      <w:pPr>
        <w:spacing w:before="280" w:after="80"/>
      </w:pPr>
      <w:r>
        <w:rPr>
          <w:rFonts w:ascii="Arial" w:hAnsi="Arial"/>
          <w:b/>
          <w:color w:val="1A1A18"/>
          <w:sz w:val="28"/>
        </w:rPr>
        <w:t>Block 17: Contract Effort Description</w:t>
      </w:r>
    </w:p>
    <w:p>
      <w:pPr>
        <w:spacing w:before="0" w:after="200"/>
        <w:ind w:left="144"/>
      </w:pPr>
      <w:r>
        <w:rPr>
          <w:rFonts w:ascii="Arial" w:hAnsi="Arial"/>
          <w:sz w:val="20"/>
        </w:rPr>
        <w:t>The Contractor provides engineering, design, and construction services for the P-1102 Magazine and Ordnance Operations Facility Modernization project at Naval Station Norfolk. The scope includes demolition of 18 arch-type magazines constructed between 1968 and 1974, construction of six (6) containerized long weapons storage (CLWS) magazines with associated overhead bridge cranes, two (2) Type G igloos with 10-ton bridge cranes, one (1) Type H magazine with associated crane infrastructure, a new Ordnance Operations Building (OOB) providing administrative and staging support, and a new Sentry Building with force protection infrastructure. Work includes all associated site preparation, utility relocation, grading, paving, environmental compliance, and incidental related construction in accordance with Naval Facilities Engineering Systems Command (NAVFAC) drawings and specifications. All work is conducted within an active ordnance storage area subject to DoN explosive safety requirements per NAVSEA OP 5.</w:t>
      </w:r>
    </w:p>
    <w:p>
      <w:pPr>
        <w:spacing w:before="160" w:after="160"/>
        <w:pBdr>
          <w:bottom w:val="single" w:sz="4" w:space="1" w:color="AAAAAA"/>
        </w:pBdr>
      </w:pPr>
    </w:p>
    <w:p>
      <w:pPr>
        <w:spacing w:before="280" w:after="80"/>
      </w:pPr>
      <w:r>
        <w:rPr>
          <w:rFonts w:ascii="Arial" w:hAnsi="Arial"/>
          <w:b/>
          <w:color w:val="1A1A18"/>
          <w:sz w:val="28"/>
        </w:rPr>
        <w:t>Block 18 &amp; 20: Ratings and Narratives</w:t>
      </w:r>
    </w:p>
    <w:p>
      <w:pPr>
        <w:spacing w:before="40" w:after="40"/>
      </w:pPr>
      <w:r>
        <w:rPr>
          <w:rFonts w:ascii="Arial" w:hAnsi="Arial"/>
          <w:sz w:val="20"/>
        </w:rPr>
        <w:t xml:space="preserve">  Quality of Product/Service: </w:t>
      </w:r>
      <w:r>
        <w:rPr>
          <w:rFonts w:ascii="Arial" w:hAnsi="Arial"/>
          <w:b/>
          <w:color w:val="4B0D82"/>
          <w:sz w:val="20"/>
        </w:rPr>
        <w:t xml:space="preserve">  Purple / Very Good  </w:t>
      </w:r>
    </w:p>
    <w:p>
      <w:pPr>
        <w:spacing w:before="40" w:after="40"/>
      </w:pPr>
      <w:r>
        <w:rPr>
          <w:rFonts w:ascii="Arial" w:hAnsi="Arial"/>
          <w:sz w:val="20"/>
        </w:rPr>
        <w:t xml:space="preserve">  Schedule: </w:t>
      </w:r>
      <w:r>
        <w:rPr>
          <w:rFonts w:ascii="Arial" w:hAnsi="Arial"/>
          <w:b/>
          <w:color w:val="7A5A00"/>
          <w:sz w:val="20"/>
        </w:rPr>
        <w:t xml:space="preserve">  Yellow / Marginal  </w:t>
      </w:r>
    </w:p>
    <w:p>
      <w:pPr>
        <w:spacing w:before="40" w:after="40"/>
      </w:pPr>
      <w:r>
        <w:rPr>
          <w:rFonts w:ascii="Arial" w:hAnsi="Arial"/>
          <w:sz w:val="20"/>
        </w:rPr>
        <w:t xml:space="preserve">  Cost Control: </w:t>
      </w:r>
      <w:r>
        <w:rPr>
          <w:rFonts w:ascii="Arial" w:hAnsi="Arial"/>
          <w:b/>
          <w:color w:val="4B0D82"/>
          <w:sz w:val="20"/>
        </w:rPr>
        <w:t xml:space="preserve">  Purple / Very Good  </w:t>
      </w:r>
    </w:p>
    <w:p>
      <w:pPr>
        <w:spacing w:before="40" w:after="40"/>
      </w:pPr>
      <w:r>
        <w:rPr>
          <w:rFonts w:ascii="Arial" w:hAnsi="Arial"/>
          <w:sz w:val="20"/>
        </w:rPr>
        <w:t xml:space="preserve">  Management: </w:t>
      </w:r>
      <w:r>
        <w:rPr>
          <w:rFonts w:ascii="Arial" w:hAnsi="Arial"/>
          <w:b/>
          <w:color w:val="4B0D82"/>
          <w:sz w:val="20"/>
        </w:rPr>
        <w:t xml:space="preserve">  Purple / Very Good  </w:t>
      </w:r>
    </w:p>
    <w:p>
      <w:pPr>
        <w:spacing w:before="40" w:after="40"/>
      </w:pPr>
      <w:r>
        <w:rPr>
          <w:rFonts w:ascii="Arial" w:hAnsi="Arial"/>
          <w:sz w:val="20"/>
        </w:rPr>
        <w:t xml:space="preserve">  Regulatory Compliance: </w:t>
      </w:r>
      <w:r>
        <w:rPr>
          <w:rFonts w:ascii="Arial" w:hAnsi="Arial"/>
          <w:b/>
          <w:color w:val="00387A"/>
          <w:sz w:val="20"/>
        </w:rPr>
        <w:t xml:space="preserve">  Dark Blue / Exceptional  </w:t>
      </w:r>
    </w:p>
    <w:p>
      <w:pPr>
        <w:spacing w:before="40" w:after="40"/>
      </w:pPr>
      <w:r>
        <w:rPr>
          <w:rFonts w:ascii="Arial" w:hAnsi="Arial"/>
          <w:sz w:val="20"/>
        </w:rPr>
        <w:t xml:space="preserve">  Business Relations: </w:t>
      </w:r>
      <w:r>
        <w:rPr>
          <w:rFonts w:ascii="Arial" w:hAnsi="Arial"/>
          <w:b/>
          <w:color w:val="4B0D82"/>
          <w:sz w:val="20"/>
        </w:rPr>
        <w:t xml:space="preserve">  Purple / Very Good  </w:t>
      </w:r>
    </w:p>
    <w:p>
      <w:pPr>
        <w:spacing w:before="40" w:after="40"/>
      </w:pPr>
      <w:r>
        <w:rPr>
          <w:rFonts w:ascii="Arial" w:hAnsi="Arial"/>
          <w:sz w:val="20"/>
        </w:rPr>
        <w:t xml:space="preserve">  Small Business Subcontracting: </w:t>
      </w:r>
      <w:r>
        <w:rPr>
          <w:rFonts w:ascii="Arial" w:hAnsi="Arial"/>
          <w:b/>
          <w:color w:val="1A6B2E"/>
          <w:sz w:val="20"/>
        </w:rPr>
        <w:t xml:space="preserve">  Green / Satisfactory  </w:t>
      </w:r>
    </w:p>
    <w:p>
      <w:pPr>
        <w:spacing w:before="120" w:after="200"/>
      </w:pPr>
      <w:r>
        <w:rPr>
          <w:rFonts w:ascii="Arial" w:hAnsi="Arial"/>
          <w:b/>
          <w:sz w:val="20"/>
        </w:rPr>
        <w:t>Recommendation to Re-Award: Probably Would</w:t>
      </w:r>
    </w:p>
    <w:p>
      <w:pPr>
        <w:spacing w:before="160" w:after="160"/>
        <w:pBdr>
          <w:bottom w:val="single" w:sz="4" w:space="1" w:color="AAAAAA"/>
        </w:pBdr>
      </w:pPr>
    </w:p>
    <w:p>
      <w:pPr>
        <w:spacing w:before="160" w:after="80"/>
      </w:pPr>
      <w:r>
        <w:rPr>
          <w:rFonts w:ascii="Arial" w:hAnsi="Arial"/>
          <w:b/>
          <w:color w:val="333360"/>
          <w:sz w:val="22"/>
        </w:rPr>
        <w:t>Block 20: Supporting Narratives</w:t>
      </w:r>
    </w:p>
    <w:p>
      <w:pPr>
        <w:spacing w:before="120" w:after="40"/>
      </w:pPr>
      <w:r>
        <w:rPr>
          <w:rFonts w:ascii="Arial" w:hAnsi="Arial"/>
          <w:b/>
          <w:color w:val="333360"/>
          <w:sz w:val="20"/>
        </w:rPr>
        <w:t xml:space="preserve">Quality of Product/Service (Purple / Very Good): </w:t>
      </w:r>
    </w:p>
    <w:p>
      <w:pPr>
        <w:spacing w:before="0" w:after="160"/>
        <w:ind w:left="288"/>
      </w:pPr>
      <w:r>
        <w:rPr>
          <w:rFonts w:ascii="Arial" w:hAnsi="Arial"/>
          <w:sz w:val="20"/>
        </w:rPr>
        <w:t>Tidewater Engineering has delivered work products of consistently high quality during this interim evaluation period. Demolition of 11 of the 18 arch-type magazines was completed with zero structural incidents or damage to adjacent active ordnance storage areas. All 11 demolition packages were reviewed by the Contracting Officer's Representative and NAVFAC Mid-Atlantic Quality Assurance personnel; 9 of 11 required no rework. The two packages requiring rework involved concrete footing removal at Magazines 4 and 7, where the contractor identified subsurface grade beam configurations not reflected in the original drawings and submitted an RFI within 2 business days of discovery. Revised work plans were approved and executed without schedule impact to those packages. Fabrication submittals for the CLWS magazine crane runway systems (6 units) were submitted 14 days ahead of the CDRL-required dates and were approved with one minor comment round. The Government evaluates quality as Very Good; the contractor exceeded base requirements on most deliverables with only minor problems corrected promptly.</w:t>
      </w:r>
    </w:p>
    <w:p>
      <w:pPr>
        <w:spacing w:before="120" w:after="40"/>
      </w:pPr>
      <w:r>
        <w:rPr>
          <w:rFonts w:ascii="Arial" w:hAnsi="Arial"/>
          <w:b/>
          <w:color w:val="333360"/>
          <w:sz w:val="20"/>
        </w:rPr>
        <w:t xml:space="preserve">Schedule (Yellow / Marginal): </w:t>
      </w:r>
    </w:p>
    <w:p>
      <w:pPr>
        <w:spacing w:before="0" w:after="160"/>
        <w:ind w:left="288"/>
      </w:pPr>
      <w:r>
        <w:rPr>
          <w:rFonts w:ascii="Arial" w:hAnsi="Arial"/>
          <w:sz w:val="20"/>
        </w:rPr>
        <w:t>Schedule performance during this evaluation period is rated Marginal. The contractor's current Schedule Performance Index (SPI) as of 31 March 2026 is 0.87, reflecting a cumulative schedule variance of negative $2.1M against the Performance Measurement Baseline. The primary driver is a 34-calendar-day delay in mobilization of the Type G magazine crane installation subcontractor (Coastal Crane Services, LLC), which was initially attributed by the contractor to subcontractor procurement lead times for custom runway beam assemblies. The Government issued a Deficiency Notice (DN-2026-003) on 14 February 2026 documenting the delay and requesting a corrective action plan within 10 days. The contractor's CAP, received 24 February 2026, proposes schedule recovery through addition of a second crane installation crew and extended shift work on the Type H magazine to recover 18 days by 30 June 2026. The remaining 16-day variance has not been addressed with a credible mitigation path. Government considers the proposed recovery plan only marginally effective; the contractor has not yet demonstrated the capacity to execute concurrent crane work on three magazine types simultaneously. This issue will be tracked at the next monthly program review scheduled for 15 April 2026.</w:t>
      </w:r>
    </w:p>
    <w:p>
      <w:pPr>
        <w:spacing w:before="120" w:after="40"/>
      </w:pPr>
      <w:r>
        <w:rPr>
          <w:rFonts w:ascii="Arial" w:hAnsi="Arial"/>
          <w:b/>
          <w:color w:val="333360"/>
          <w:sz w:val="20"/>
        </w:rPr>
        <w:t xml:space="preserve">Cost Control (Purple / Very Good): </w:t>
      </w:r>
    </w:p>
    <w:p>
      <w:pPr>
        <w:spacing w:before="0" w:after="160"/>
        <w:ind w:left="288"/>
      </w:pPr>
      <w:r>
        <w:rPr>
          <w:rFonts w:ascii="Arial" w:hAnsi="Arial"/>
          <w:sz w:val="20"/>
        </w:rPr>
        <w:t>The contractor has demonstrated effective cost management across the base period of performance. Actual costs through 31 March 2026 are $14.2M against a plan of $14.8M, yielding a Cost Performance Index (CPI) of 1.04. The contractor implemented a materials pre-procurement strategy at contract award, locking in steel pricing for the CLWS magazine structural packages prior to anticipated market increases; this decision resulted in an estimated $340,000 in avoided cost escalation. No contract modifications for scope changes have been initiated by the contractor, and all three requests for equitable adjustment (REAs) submitted during the period were found to lack merit and withdrawn by the contractor following Government review.</w:t>
      </w:r>
    </w:p>
    <w:p>
      <w:pPr>
        <w:spacing w:before="120" w:after="40"/>
      </w:pPr>
      <w:r>
        <w:rPr>
          <w:rFonts w:ascii="Arial" w:hAnsi="Arial"/>
          <w:b/>
          <w:color w:val="333360"/>
          <w:sz w:val="20"/>
        </w:rPr>
        <w:t xml:space="preserve">Management (Purple / Very Good): </w:t>
      </w:r>
    </w:p>
    <w:p>
      <w:pPr>
        <w:spacing w:before="0" w:after="160"/>
        <w:ind w:left="288"/>
      </w:pPr>
      <w:r>
        <w:rPr>
          <w:rFonts w:ascii="Arial" w:hAnsi="Arial"/>
          <w:sz w:val="20"/>
        </w:rPr>
        <w:t>Contractor management performance has been effective throughout this evaluation period. The contractor's Project Manager, Mr. David Okonkwo, PE, has maintained consistent attendance at all 12 monthly progress meetings and 6 Government-initiated schedule recovery meetings. The contractor submitted all 47 required submittals during the period; 43 were submitted on time and 4 were submitted between 1 and 3 days late due to a revision cycle on the OOB structural drawings. The contractor proactively identified a conflict between civil utility drawings and NAVFAC standard details for the sentry building generator pad drainage and coordinated resolution with the design agent without requiring a Government-directed change. Personnel turnover on this contract has been zero at the Project Manager, Site Superintendent, and Safety Manager levels.</w:t>
      </w:r>
    </w:p>
    <w:p>
      <w:pPr>
        <w:spacing w:before="120" w:after="40"/>
      </w:pPr>
      <w:r>
        <w:rPr>
          <w:rFonts w:ascii="Arial" w:hAnsi="Arial"/>
          <w:b/>
          <w:color w:val="333360"/>
          <w:sz w:val="20"/>
        </w:rPr>
        <w:t xml:space="preserve">Regulatory Compliance (Dark Blue / Exceptional): </w:t>
      </w:r>
    </w:p>
    <w:p>
      <w:pPr>
        <w:spacing w:before="0" w:after="160"/>
        <w:ind w:left="288"/>
      </w:pPr>
      <w:r>
        <w:rPr>
          <w:rFonts w:ascii="Arial" w:hAnsi="Arial"/>
          <w:sz w:val="20"/>
        </w:rPr>
        <w:t>The contractor's regulatory compliance performance has been exceptional and has set a standard for execution within an active ordnance storage area. Zero OSHA recordable incidents have occurred during the evaluation period, encompassing approximately 41,200 direct labor hours. The contractor completed 6 unannounced explosive safety inspections conducted by the Naval Station Norfolk Explosive Safety Officer; all 6 resulted in zero findings. The contractor implemented a voluntary secondary exclusion zone marking system beyond what NAVSEA OP 5 requires, which the ESO cited by name in his January 2026 quarterly safety report as a best practice. All environmental compliance requirements under the site-specific SWPPP were met; stormwater inspections produced zero NOVs during the evaluation period. A single contractor employee's DBIDS badge expired on 17 January 2026 and was identified during routine screening; the contractor self-reported within 1 hour and the employee was escorted off site pending renewal.</w:t>
      </w:r>
    </w:p>
    <w:p>
      <w:pPr>
        <w:spacing w:before="120" w:after="40"/>
      </w:pPr>
      <w:r>
        <w:rPr>
          <w:rFonts w:ascii="Arial" w:hAnsi="Arial"/>
          <w:b/>
          <w:color w:val="333360"/>
          <w:sz w:val="20"/>
        </w:rPr>
        <w:t xml:space="preserve">Business Relations (Purple / Very Good): </w:t>
      </w:r>
    </w:p>
    <w:p>
      <w:pPr>
        <w:spacing w:before="0" w:after="160"/>
        <w:ind w:left="288"/>
      </w:pPr>
      <w:r>
        <w:rPr>
          <w:rFonts w:ascii="Arial" w:hAnsi="Arial"/>
          <w:sz w:val="20"/>
        </w:rPr>
        <w:t>The contractor maintains professional and effective business relations with the Government. Correspondence is responded to within the contractually required 5-business-day window in 94% of cases during this evaluation period (48 of 51 tracked communications). The three late responses involved complex RFI packages requiring subcontractor input; the contractor provided interim acknowledgment in each case within 1 business day. The contractor's invoicing record is clean: all 6 invoices submitted during the period were accurate and processed without rejection.</w:t>
      </w:r>
    </w:p>
    <w:p>
      <w:pPr>
        <w:spacing w:before="120" w:after="40"/>
      </w:pPr>
      <w:r>
        <w:rPr>
          <w:rFonts w:ascii="Arial" w:hAnsi="Arial"/>
          <w:b/>
          <w:color w:val="333360"/>
          <w:sz w:val="20"/>
        </w:rPr>
        <w:t xml:space="preserve">Small Business Subcontracting (Green / Satisfactory): </w:t>
      </w:r>
    </w:p>
    <w:p>
      <w:pPr>
        <w:spacing w:before="0" w:after="160"/>
        <w:ind w:left="288"/>
      </w:pPr>
      <w:r>
        <w:rPr>
          <w:rFonts w:ascii="Arial" w:hAnsi="Arial"/>
          <w:sz w:val="20"/>
        </w:rPr>
        <w:t>The contractor met its small business subcontracting goals for the period. Against a plan of 35% small business participation by value, actual performance is 36.2% ($5.14M of $14.2M expended). The contractor utilized three SDVOSB subcontractors for concrete demolition, environmental monitoring, and electrical rough-in work. The contractor did not identify any new small business sources during this period beyond those named in the subcontracting plan at award.</w:t>
      </w:r>
    </w:p>
    <w:p>
      <w:pPr>
        <w:spacing w:before="200" w:after="40"/>
      </w:pPr>
      <w:r>
        <w:rPr>
          <w:rFonts w:ascii="Arial" w:hAnsi="Arial"/>
          <w:b/>
          <w:color w:val="7A3A00"/>
          <w:sz w:val="20"/>
        </w:rPr>
        <w:t>Contractor Response:</w:t>
      </w:r>
    </w:p>
    <w:p>
      <w:pPr>
        <w:spacing w:before="0" w:after="120"/>
        <w:ind w:left="288"/>
        <w:pBdr>
          <w:left w:val="single" w:sz="12" w:space="6" w:color="D4860A"/>
        </w:pBdr>
      </w:pPr>
      <w:r>
        <w:rPr>
          <w:rFonts w:ascii="Arial" w:hAnsi="Arial"/>
          <w:color w:val="443300"/>
          <w:sz w:val="20"/>
        </w:rPr>
        <w:t>Tidewater Engineering &amp; Construction Group acknowledges the Marginal schedule rating and concurs that the crane installation subcontractor mobilization delay is the primary driver. We respectfully note that the runway beam procurement delay was caused in part by a 19-day NAVFAC submittal review cycle that exceeded the contractual 14-day review period on Submittal 18-CR-004, which we have documented in our contemporaneous records. We are committed to the recovery plan submitted 24 February 2026 and will provide a weekly schedule update to the COR beginning 22 April 2026. We accept all other ratings as fair and accurate reflections of our performance.</w:t>
      </w:r>
    </w:p>
    <w:p>
      <w:r>
        <w:br w:type="page"/>
      </w:r>
    </w:p>
    <w:p>
      <w:pPr>
        <w:spacing w:before="0" w:after="80"/>
        <w:jc w:val="center"/>
      </w:pPr>
      <w:r>
        <w:rPr>
          <w:rFonts w:ascii="Arial" w:hAnsi="Arial"/>
          <w:b/>
          <w:sz w:val="26"/>
        </w:rPr>
        <w:t>CONTRACTOR PERFORMANCE ASSESSMENT REPORT (CPAR)</w:t>
      </w:r>
    </w:p>
    <w:p>
      <w:pPr>
        <w:spacing w:before="0" w:after="240"/>
        <w:jc w:val="center"/>
      </w:pPr>
      <w:r>
        <w:rPr>
          <w:rFonts w:ascii="Arial" w:hAnsi="Arial"/>
          <w:color w:val="666666"/>
          <w:sz w:val="18"/>
        </w:rPr>
        <w:t>Report Type: Interim (Base Period)  |  Period of Performance: 01 Oct 2025 – 30 Apr 2026 (7 months)</w:t>
      </w:r>
    </w:p>
    <w:p>
      <w:pPr>
        <w:spacing w:before="160" w:after="160"/>
        <w:pBdr>
          <w:bottom w:val="single" w:sz="4" w:space="1" w:color="AAAAAA"/>
        </w:pBdr>
      </w:pPr>
    </w:p>
    <w:p>
      <w:pPr>
        <w:spacing w:before="160" w:after="80"/>
      </w:pPr>
      <w:r>
        <w:rPr>
          <w:rFonts w:ascii="Arial" w:hAnsi="Arial"/>
          <w:b/>
          <w:color w:val="333360"/>
          <w:sz w:val="22"/>
        </w:rPr>
        <w:t>Block 1–17: Contract Registration Information</w:t>
      </w:r>
    </w:p>
    <w:p>
      <w:pPr>
        <w:spacing w:before="40" w:after="40"/>
      </w:pPr>
      <w:r>
        <w:rPr>
          <w:rFonts w:ascii="Arial" w:hAnsi="Arial"/>
          <w:b/>
          <w:sz w:val="20"/>
        </w:rPr>
        <w:t xml:space="preserve">Contract Number: </w:t>
      </w:r>
      <w:r>
        <w:rPr>
          <w:rFonts w:ascii="Arial" w:hAnsi="Arial"/>
          <w:sz w:val="20"/>
        </w:rPr>
        <w:t>M0026426C0112</w:t>
      </w:r>
    </w:p>
    <w:p>
      <w:pPr>
        <w:spacing w:before="40" w:after="40"/>
      </w:pPr>
      <w:r>
        <w:rPr>
          <w:rFonts w:ascii="Arial" w:hAnsi="Arial"/>
          <w:b/>
          <w:sz w:val="20"/>
        </w:rPr>
        <w:t xml:space="preserve">Solicitation Number: </w:t>
      </w:r>
      <w:r>
        <w:rPr>
          <w:rFonts w:ascii="Arial" w:hAnsi="Arial"/>
          <w:sz w:val="20"/>
        </w:rPr>
        <w:t>M0026426R0009</w:t>
      </w:r>
    </w:p>
    <w:p>
      <w:pPr>
        <w:spacing w:before="40" w:after="40"/>
      </w:pPr>
      <w:r>
        <w:rPr>
          <w:rFonts w:ascii="Arial" w:hAnsi="Arial"/>
          <w:b/>
          <w:sz w:val="20"/>
        </w:rPr>
        <w:t xml:space="preserve">Contractor Name: </w:t>
      </w:r>
      <w:r>
        <w:rPr>
          <w:rFonts w:ascii="Arial" w:hAnsi="Arial"/>
          <w:sz w:val="20"/>
        </w:rPr>
        <w:t>Meridian Analytics &amp; Defense Solutions, Inc.</w:t>
      </w:r>
    </w:p>
    <w:p>
      <w:pPr>
        <w:spacing w:before="40" w:after="40"/>
      </w:pPr>
      <w:r>
        <w:rPr>
          <w:rFonts w:ascii="Arial" w:hAnsi="Arial"/>
          <w:b/>
          <w:sz w:val="20"/>
        </w:rPr>
        <w:t xml:space="preserve">CAGE Code: </w:t>
      </w:r>
      <w:r>
        <w:rPr>
          <w:rFonts w:ascii="Arial" w:hAnsi="Arial"/>
          <w:sz w:val="20"/>
        </w:rPr>
        <w:t>5XRL9</w:t>
      </w:r>
    </w:p>
    <w:p>
      <w:pPr>
        <w:spacing w:before="40" w:after="40"/>
      </w:pPr>
      <w:r>
        <w:rPr>
          <w:rFonts w:ascii="Arial" w:hAnsi="Arial"/>
          <w:b/>
          <w:sz w:val="20"/>
        </w:rPr>
        <w:t xml:space="preserve">DUNS/UEI: </w:t>
      </w:r>
      <w:r>
        <w:rPr>
          <w:rFonts w:ascii="Arial" w:hAnsi="Arial"/>
          <w:sz w:val="20"/>
        </w:rPr>
        <w:t>884712309</w:t>
      </w:r>
    </w:p>
    <w:p>
      <w:pPr>
        <w:spacing w:before="40" w:after="40"/>
      </w:pPr>
      <w:r>
        <w:rPr>
          <w:rFonts w:ascii="Arial" w:hAnsi="Arial"/>
          <w:b/>
          <w:sz w:val="20"/>
        </w:rPr>
        <w:t xml:space="preserve">NAICS Code: </w:t>
      </w:r>
      <w:r>
        <w:rPr>
          <w:rFonts w:ascii="Arial" w:hAnsi="Arial"/>
          <w:sz w:val="20"/>
        </w:rPr>
        <w:t>541611 – Administrative Management and General Management Consulting Services</w:t>
      </w:r>
    </w:p>
    <w:p>
      <w:pPr>
        <w:spacing w:before="40" w:after="40"/>
      </w:pPr>
      <w:r>
        <w:rPr>
          <w:rFonts w:ascii="Arial" w:hAnsi="Arial"/>
          <w:b/>
          <w:sz w:val="20"/>
        </w:rPr>
        <w:t xml:space="preserve">Business Sector: </w:t>
      </w:r>
      <w:r>
        <w:rPr>
          <w:rFonts w:ascii="Arial" w:hAnsi="Arial"/>
          <w:sz w:val="20"/>
        </w:rPr>
        <w:t>Services / IT / Operations Support</w:t>
      </w:r>
    </w:p>
    <w:p>
      <w:pPr>
        <w:spacing w:before="40" w:after="40"/>
      </w:pPr>
      <w:r>
        <w:rPr>
          <w:rFonts w:ascii="Arial" w:hAnsi="Arial"/>
          <w:b/>
          <w:sz w:val="20"/>
        </w:rPr>
        <w:t xml:space="preserve">Contract Type: </w:t>
      </w:r>
      <w:r>
        <w:rPr>
          <w:rFonts w:ascii="Arial" w:hAnsi="Arial"/>
          <w:sz w:val="20"/>
        </w:rPr>
        <w:t>Firm Fixed Price (FFP)</w:t>
      </w:r>
    </w:p>
    <w:p>
      <w:pPr>
        <w:spacing w:before="40" w:after="40"/>
      </w:pPr>
      <w:r>
        <w:rPr>
          <w:rFonts w:ascii="Arial" w:hAnsi="Arial"/>
          <w:b/>
          <w:sz w:val="20"/>
        </w:rPr>
        <w:t xml:space="preserve">Issued By: </w:t>
      </w:r>
      <w:r>
        <w:rPr>
          <w:rFonts w:ascii="Arial" w:hAnsi="Arial"/>
          <w:sz w:val="20"/>
        </w:rPr>
        <w:t>Commander MCINCR-MCBQ, Attn: Director Regional Contracting, 2010 Henderson Rd, Quantico VA 22134-5028</w:t>
      </w:r>
    </w:p>
    <w:p>
      <w:pPr>
        <w:spacing w:before="40" w:after="40"/>
      </w:pPr>
      <w:r>
        <w:rPr>
          <w:rFonts w:ascii="Arial" w:hAnsi="Arial"/>
          <w:b/>
          <w:sz w:val="20"/>
        </w:rPr>
        <w:t xml:space="preserve">Contracting Officer: </w:t>
      </w:r>
      <w:r>
        <w:rPr>
          <w:rFonts w:ascii="Arial" w:hAnsi="Arial"/>
          <w:sz w:val="20"/>
        </w:rPr>
        <w:t>Shaye Nelson, M00264, 703-432-1927</w:t>
      </w:r>
    </w:p>
    <w:p>
      <w:pPr>
        <w:spacing w:before="40" w:after="40"/>
      </w:pPr>
      <w:r>
        <w:rPr>
          <w:rFonts w:ascii="Arial" w:hAnsi="Arial"/>
          <w:b/>
          <w:sz w:val="20"/>
        </w:rPr>
        <w:t xml:space="preserve">COR / Assessing Official: </w:t>
      </w:r>
      <w:r>
        <w:rPr>
          <w:rFonts w:ascii="Arial" w:hAnsi="Arial"/>
          <w:sz w:val="20"/>
        </w:rPr>
        <w:t>Maj. Patricia Osei, MCINCR-MCBQ G3/5/7</w:t>
      </w:r>
    </w:p>
    <w:p>
      <w:pPr>
        <w:spacing w:before="40" w:after="40"/>
      </w:pPr>
      <w:r>
        <w:rPr>
          <w:rFonts w:ascii="Arial" w:hAnsi="Arial"/>
          <w:b/>
          <w:sz w:val="20"/>
        </w:rPr>
        <w:t xml:space="preserve">Awarded Value: </w:t>
      </w:r>
      <w:r>
        <w:rPr>
          <w:rFonts w:ascii="Arial" w:hAnsi="Arial"/>
          <w:sz w:val="20"/>
        </w:rPr>
        <w:t>$18,400,000.00 (base + 3 option periods)</w:t>
      </w:r>
    </w:p>
    <w:p>
      <w:pPr>
        <w:spacing w:before="40" w:after="40"/>
      </w:pPr>
      <w:r>
        <w:rPr>
          <w:rFonts w:ascii="Arial" w:hAnsi="Arial"/>
          <w:b/>
          <w:sz w:val="20"/>
        </w:rPr>
        <w:t xml:space="preserve">Current Contract Value: </w:t>
      </w:r>
      <w:r>
        <w:rPr>
          <w:rFonts w:ascii="Arial" w:hAnsi="Arial"/>
          <w:sz w:val="20"/>
        </w:rPr>
        <w:t>$3,220,000.00 (base period)</w:t>
      </w:r>
    </w:p>
    <w:p>
      <w:pPr>
        <w:spacing w:before="40" w:after="40"/>
      </w:pPr>
      <w:r>
        <w:rPr>
          <w:rFonts w:ascii="Arial" w:hAnsi="Arial"/>
          <w:b/>
          <w:sz w:val="20"/>
        </w:rPr>
        <w:t xml:space="preserve">Contract Completion Date: </w:t>
      </w:r>
      <w:r>
        <w:rPr>
          <w:rFonts w:ascii="Arial" w:hAnsi="Arial"/>
          <w:sz w:val="20"/>
        </w:rPr>
        <w:t>30 September 2029 (including all option periods)</w:t>
      </w:r>
    </w:p>
    <w:p>
      <w:pPr>
        <w:spacing w:before="40" w:after="40"/>
      </w:pPr>
      <w:r>
        <w:rPr>
          <w:rFonts w:ascii="Arial" w:hAnsi="Arial"/>
          <w:b/>
          <w:sz w:val="20"/>
        </w:rPr>
        <w:t xml:space="preserve">Location of Performance: </w:t>
      </w:r>
      <w:r>
        <w:rPr>
          <w:rFonts w:ascii="Arial" w:hAnsi="Arial"/>
          <w:sz w:val="20"/>
        </w:rPr>
        <w:t>Marine Corps Base Quantico, VA 22134</w:t>
      </w:r>
    </w:p>
    <w:p>
      <w:pPr>
        <w:spacing w:before="40" w:after="40"/>
      </w:pPr>
      <w:r>
        <w:rPr>
          <w:rFonts w:ascii="Arial" w:hAnsi="Arial"/>
          <w:b/>
          <w:sz w:val="20"/>
        </w:rPr>
        <w:t xml:space="preserve">Set-Aside: </w:t>
      </w:r>
      <w:r>
        <w:rPr>
          <w:rFonts w:ascii="Arial" w:hAnsi="Arial"/>
          <w:sz w:val="20"/>
        </w:rPr>
        <w:t>Service-Disabled Veteran-Owned Small Business (SDVOSB) – 100%</w:t>
      </w:r>
    </w:p>
    <w:p>
      <w:pPr>
        <w:spacing w:before="160" w:after="160"/>
        <w:pBdr>
          <w:bottom w:val="single" w:sz="4" w:space="1" w:color="AAAAAA"/>
        </w:pBdr>
      </w:pPr>
    </w:p>
    <w:p>
      <w:pPr>
        <w:spacing w:before="280" w:after="80"/>
      </w:pPr>
      <w:r>
        <w:rPr>
          <w:rFonts w:ascii="Arial" w:hAnsi="Arial"/>
          <w:b/>
          <w:color w:val="1A1A18"/>
          <w:sz w:val="28"/>
        </w:rPr>
        <w:t>Block 17: Contract Effort Description</w:t>
      </w:r>
    </w:p>
    <w:p>
      <w:pPr>
        <w:spacing w:before="0" w:after="200"/>
        <w:ind w:left="144"/>
      </w:pPr>
      <w:r>
        <w:rPr>
          <w:rFonts w:ascii="Arial" w:hAnsi="Arial"/>
          <w:sz w:val="20"/>
        </w:rPr>
        <w:t>The Contractor provides professional analytical and technical support services to MCINCR-MCBQ in two primary task areas. Under Task Area 1 (Analysis &amp; Assessment, CLIN 0001/1001/2001/3001/4001), the Contractor supports the development, modification, validation, and analysis of Marine Corps physical fitness programs and readiness standards in accordance with Performance Work Statement paragraphs 9.1 through 9.1.7. Deliverables include data-driven assessments of Physical Fitness Test (PFT) and Combat Fitness Test (CFT) performance trends across MARFORCOM, MARFORPAC, and MARFORSOC units, as well as recommendations for program modifications based on injury epidemiology and operational readiness correlation analysis. Under Task Area 2 (Policy &amp; Doctrine, CLIN 0002/1002/2002/3002/4002), the Contractor provides support in the use of Artificial Intelligence (AI), Microsoft Power BI, and Power Automate platforms to develop interactive data visualizations, automated reporting pipelines, and decision-support dashboards for G3/5/7 staff in accordance with PWS paragraphs 9.1.8 and 9.2.7 through 9.2.9.</w:t>
      </w:r>
    </w:p>
    <w:p>
      <w:pPr>
        <w:spacing w:before="160" w:after="160"/>
        <w:pBdr>
          <w:bottom w:val="single" w:sz="4" w:space="1" w:color="AAAAAA"/>
        </w:pBdr>
      </w:pPr>
    </w:p>
    <w:p>
      <w:pPr>
        <w:spacing w:before="280" w:after="80"/>
      </w:pPr>
      <w:r>
        <w:rPr>
          <w:rFonts w:ascii="Arial" w:hAnsi="Arial"/>
          <w:b/>
          <w:color w:val="1A1A18"/>
          <w:sz w:val="28"/>
        </w:rPr>
        <w:t>Block 18 &amp; 20: Ratings and Narratives</w:t>
      </w:r>
    </w:p>
    <w:p>
      <w:pPr>
        <w:spacing w:before="40" w:after="40"/>
      </w:pPr>
      <w:r>
        <w:rPr>
          <w:rFonts w:ascii="Arial" w:hAnsi="Arial"/>
          <w:sz w:val="20"/>
        </w:rPr>
        <w:t xml:space="preserve">  Quality of Product/Service: </w:t>
      </w:r>
      <w:r>
        <w:rPr>
          <w:rFonts w:ascii="Arial" w:hAnsi="Arial"/>
          <w:b/>
          <w:color w:val="00387A"/>
          <w:sz w:val="20"/>
        </w:rPr>
        <w:t xml:space="preserve">  Dark Blue / Exceptional  </w:t>
      </w:r>
    </w:p>
    <w:p>
      <w:pPr>
        <w:spacing w:before="40" w:after="40"/>
      </w:pPr>
      <w:r>
        <w:rPr>
          <w:rFonts w:ascii="Arial" w:hAnsi="Arial"/>
          <w:sz w:val="20"/>
        </w:rPr>
        <w:t xml:space="preserve">  Schedule: </w:t>
      </w:r>
      <w:r>
        <w:rPr>
          <w:rFonts w:ascii="Arial" w:hAnsi="Arial"/>
          <w:b/>
          <w:color w:val="00387A"/>
          <w:sz w:val="20"/>
        </w:rPr>
        <w:t xml:space="preserve">  Dark Blue / Exceptional  </w:t>
      </w:r>
    </w:p>
    <w:p>
      <w:pPr>
        <w:spacing w:before="40" w:after="40"/>
      </w:pPr>
      <w:r>
        <w:rPr>
          <w:rFonts w:ascii="Arial" w:hAnsi="Arial"/>
          <w:sz w:val="20"/>
        </w:rPr>
        <w:t xml:space="preserve">  Cost Control: </w:t>
      </w:r>
      <w:r>
        <w:rPr>
          <w:rFonts w:ascii="Arial" w:hAnsi="Arial"/>
          <w:b/>
          <w:color w:val="4B0D82"/>
          <w:sz w:val="20"/>
        </w:rPr>
        <w:t xml:space="preserve">  Purple / Very Good  </w:t>
      </w:r>
    </w:p>
    <w:p>
      <w:pPr>
        <w:spacing w:before="40" w:after="40"/>
      </w:pPr>
      <w:r>
        <w:rPr>
          <w:rFonts w:ascii="Arial" w:hAnsi="Arial"/>
          <w:sz w:val="20"/>
        </w:rPr>
        <w:t xml:space="preserve">  Management: </w:t>
      </w:r>
      <w:r>
        <w:rPr>
          <w:rFonts w:ascii="Arial" w:hAnsi="Arial"/>
          <w:b/>
          <w:color w:val="00387A"/>
          <w:sz w:val="20"/>
        </w:rPr>
        <w:t xml:space="preserve">  Dark Blue / Exceptional  </w:t>
      </w:r>
    </w:p>
    <w:p>
      <w:pPr>
        <w:spacing w:before="40" w:after="40"/>
      </w:pPr>
      <w:r>
        <w:rPr>
          <w:rFonts w:ascii="Arial" w:hAnsi="Arial"/>
          <w:sz w:val="20"/>
        </w:rPr>
        <w:t xml:space="preserve">  Regulatory Compliance: </w:t>
      </w:r>
      <w:r>
        <w:rPr>
          <w:rFonts w:ascii="Arial" w:hAnsi="Arial"/>
          <w:b/>
          <w:color w:val="1A6B2E"/>
          <w:sz w:val="20"/>
        </w:rPr>
        <w:t xml:space="preserve">  Green / Satisfactory  </w:t>
      </w:r>
    </w:p>
    <w:p>
      <w:pPr>
        <w:spacing w:before="40" w:after="40"/>
      </w:pPr>
      <w:r>
        <w:rPr>
          <w:rFonts w:ascii="Arial" w:hAnsi="Arial"/>
          <w:sz w:val="20"/>
        </w:rPr>
        <w:t xml:space="preserve">  Business Relations: </w:t>
      </w:r>
      <w:r>
        <w:rPr>
          <w:rFonts w:ascii="Arial" w:hAnsi="Arial"/>
          <w:b/>
          <w:color w:val="00387A"/>
          <w:sz w:val="20"/>
        </w:rPr>
        <w:t xml:space="preserve">  Dark Blue / Exceptional  </w:t>
      </w:r>
    </w:p>
    <w:p>
      <w:pPr>
        <w:spacing w:before="40" w:after="40"/>
      </w:pPr>
      <w:r>
        <w:rPr>
          <w:rFonts w:ascii="Arial" w:hAnsi="Arial"/>
          <w:sz w:val="20"/>
        </w:rPr>
        <w:t xml:space="preserve">  Small Business Subcontracting: </w:t>
      </w:r>
      <w:r>
        <w:rPr>
          <w:rFonts w:ascii="Arial" w:hAnsi="Arial"/>
          <w:b/>
          <w:color w:val="4B0D82"/>
          <w:sz w:val="20"/>
        </w:rPr>
        <w:t xml:space="preserve">  Purple / Very Good  </w:t>
      </w:r>
    </w:p>
    <w:p>
      <w:pPr>
        <w:spacing w:before="120" w:after="200"/>
      </w:pPr>
      <w:r>
        <w:rPr>
          <w:rFonts w:ascii="Arial" w:hAnsi="Arial"/>
          <w:b/>
          <w:sz w:val="20"/>
        </w:rPr>
        <w:t>Recommendation to Re-Award: Definitely Would</w:t>
      </w:r>
    </w:p>
    <w:p>
      <w:pPr>
        <w:spacing w:before="160" w:after="160"/>
        <w:pBdr>
          <w:bottom w:val="single" w:sz="4" w:space="1" w:color="AAAAAA"/>
        </w:pBdr>
      </w:pPr>
    </w:p>
    <w:p>
      <w:pPr>
        <w:spacing w:before="160" w:after="80"/>
      </w:pPr>
      <w:r>
        <w:rPr>
          <w:rFonts w:ascii="Arial" w:hAnsi="Arial"/>
          <w:b/>
          <w:color w:val="333360"/>
          <w:sz w:val="22"/>
        </w:rPr>
        <w:t>Block 20: Supporting Narratives</w:t>
      </w:r>
    </w:p>
    <w:p>
      <w:pPr>
        <w:spacing w:before="120" w:after="40"/>
      </w:pPr>
      <w:r>
        <w:rPr>
          <w:rFonts w:ascii="Arial" w:hAnsi="Arial"/>
          <w:b/>
          <w:color w:val="333360"/>
          <w:sz w:val="20"/>
        </w:rPr>
        <w:t xml:space="preserve">Quality of Product/Service (Dark Blue / Exceptional): </w:t>
      </w:r>
    </w:p>
    <w:p>
      <w:pPr>
        <w:spacing w:before="0" w:after="160"/>
        <w:ind w:left="288"/>
      </w:pPr>
      <w:r>
        <w:rPr>
          <w:rFonts w:ascii="Arial" w:hAnsi="Arial"/>
          <w:sz w:val="20"/>
        </w:rPr>
        <w:t>Meridian Analytics has delivered work products that materially exceeded contractual requirements across both task areas during the base period of performance. Under Task Area 1, the contractor completed the FY25 Marine Corps Physical Fitness Readiness Assessment 22 days ahead of the CDRL-required submission date. The deliverable incorporated PFT/CFT performance data from 187,400 Marines across 14 reporting cycles and identified a statistically significant correlation (R²=0.74) between CFT performance degradation and subsequent MOS-specific injury rates in infantry and combat support occupational fields — a finding not previously documented in HQMC fitness program literature. G3/5/7 leadership utilized this analysis to support a formal program review brief to the Deputy Commandant for Combat Development and Integration in February 2026. Under Task Area 2, the contractor delivered 4 Power BI dashboards ahead of schedule; the Physical Readiness Dashboard has been adopted by 3 MEF G3 staffs beyond the original MCBQ scope of use, reducing manual reporting burden for those organizations by an estimated 12 staff-hours per reporting cycle.</w:t>
      </w:r>
    </w:p>
    <w:p>
      <w:pPr>
        <w:spacing w:before="120" w:after="40"/>
      </w:pPr>
      <w:r>
        <w:rPr>
          <w:rFonts w:ascii="Arial" w:hAnsi="Arial"/>
          <w:b/>
          <w:color w:val="333360"/>
          <w:sz w:val="20"/>
        </w:rPr>
        <w:t xml:space="preserve">Schedule (Dark Blue / Exceptional): </w:t>
      </w:r>
    </w:p>
    <w:p>
      <w:pPr>
        <w:spacing w:before="0" w:after="160"/>
        <w:ind w:left="288"/>
      </w:pPr>
      <w:r>
        <w:rPr>
          <w:rFonts w:ascii="Arial" w:hAnsi="Arial"/>
          <w:sz w:val="20"/>
        </w:rPr>
        <w:t>All 23 scheduled deliverables during the base period were submitted on or ahead of the CDRL-required dates. The contractor submitted 17 deliverables early, with lead times ranging from 3 to 22 days. The contractor maintained a Schedule Performance Index (SPI) of 1.09 as of 30 March 2026, reflecting work accomplished ahead of baseline plan. When HQMC data systems experienced a 9-day access outage in November 2025 that interrupted data extraction for the Q1 Readiness Assessment, the contractor developed an interim methodology using available unit-level data to maintain progress and delivered a preliminary assessment on the original due date, with a full revision submitted 4 days after system restoration. This proactive approach prevented a delay that would otherwise have impacted the February 2026 DC CD&amp;I brief.</w:t>
      </w:r>
    </w:p>
    <w:p>
      <w:pPr>
        <w:spacing w:before="120" w:after="40"/>
      </w:pPr>
      <w:r>
        <w:rPr>
          <w:rFonts w:ascii="Arial" w:hAnsi="Arial"/>
          <w:b/>
          <w:color w:val="333360"/>
          <w:sz w:val="20"/>
        </w:rPr>
        <w:t xml:space="preserve">Cost Control (Purple / Very Good): </w:t>
      </w:r>
    </w:p>
    <w:p>
      <w:pPr>
        <w:spacing w:before="0" w:after="160"/>
        <w:ind w:left="288"/>
      </w:pPr>
      <w:r>
        <w:rPr>
          <w:rFonts w:ascii="Arial" w:hAnsi="Arial"/>
          <w:sz w:val="20"/>
        </w:rPr>
        <w:t>The contractor has executed the base period within the FFP ceiling with no requests for equitable adjustment or claims. Invoicing has been accurate and timely; all 5 invoices submitted during the period were processed without rejection or request for additional information. The contractor identified an opportunity to consolidate two planned data analysis tasks using a shared Python pipeline, reducing labor hours on those tasks by approximately 180 hours without degrading deliverable quality. Although cost savings accrue to the Government as a fixed-price instrument, the contractor proactively disclosed the methodology change and documented the efficiency in its monthly status report.</w:t>
      </w:r>
    </w:p>
    <w:p>
      <w:pPr>
        <w:spacing w:before="120" w:after="40"/>
      </w:pPr>
      <w:r>
        <w:rPr>
          <w:rFonts w:ascii="Arial" w:hAnsi="Arial"/>
          <w:b/>
          <w:color w:val="333360"/>
          <w:sz w:val="20"/>
        </w:rPr>
        <w:t xml:space="preserve">Management (Dark Blue / Exceptional): </w:t>
      </w:r>
    </w:p>
    <w:p>
      <w:pPr>
        <w:spacing w:before="0" w:after="160"/>
        <w:ind w:left="288"/>
      </w:pPr>
      <w:r>
        <w:rPr>
          <w:rFonts w:ascii="Arial" w:hAnsi="Arial"/>
          <w:sz w:val="20"/>
        </w:rPr>
        <w:t>Meridian Analytics' management approach has been exemplary. The Program Manager, Dr. Alicia Fernandez, PMP, has demonstrated a thorough understanding of Marine Corps fitness policy objectives and has successfully integrated contractor staff with G3/5/7 government personnel. The contractor implemented a weekly stand-up meeting with the COR that has reduced email communication volume and improved issue resolution time; 18 of 19 action items generated during the period were closed within the agreed turnaround, and the one open item involves a pending HQMC policy clarification outside the contractor's control. The contractor proactively flagged a potential data rights issue related to a commercially licensed injury epidemiology dataset before incorporating it into the February deliverable, allowing the Government to obtain appropriate license permissions 30 days before the data was needed. Staff continuity has been 100% at key personnel positions during the evaluation period.</w:t>
      </w:r>
    </w:p>
    <w:p>
      <w:pPr>
        <w:spacing w:before="120" w:after="40"/>
      </w:pPr>
      <w:r>
        <w:rPr>
          <w:rFonts w:ascii="Arial" w:hAnsi="Arial"/>
          <w:b/>
          <w:color w:val="333360"/>
          <w:sz w:val="20"/>
        </w:rPr>
        <w:t xml:space="preserve">Regulatory Compliance (Green / Satisfactory): </w:t>
      </w:r>
    </w:p>
    <w:p>
      <w:pPr>
        <w:spacing w:before="0" w:after="160"/>
        <w:ind w:left="288"/>
      </w:pPr>
      <w:r>
        <w:rPr>
          <w:rFonts w:ascii="Arial" w:hAnsi="Arial"/>
          <w:sz w:val="20"/>
        </w:rPr>
        <w:t>The contractor has met all regulatory compliance requirements during the evaluation period. All contractor personnel requiring Common Access Cards or network access credentials completed System Authorization Access Requests (SAARs) prior to their start dates. One contractor employee's annual cybersecurity awareness training lapsed by 4 days in December 2025; the employee was removed from network access until training was completed and access was restored within 24 hours. The contractor self-reported this lapse to the COR on the same day it was identified. No other compliance issues occurred during the period.</w:t>
      </w:r>
    </w:p>
    <w:p>
      <w:pPr>
        <w:spacing w:before="120" w:after="40"/>
      </w:pPr>
      <w:r>
        <w:rPr>
          <w:rFonts w:ascii="Arial" w:hAnsi="Arial"/>
          <w:b/>
          <w:color w:val="333360"/>
          <w:sz w:val="20"/>
        </w:rPr>
        <w:t xml:space="preserve">Business Relations (Dark Blue / Exceptional): </w:t>
      </w:r>
    </w:p>
    <w:p>
      <w:pPr>
        <w:spacing w:before="0" w:after="160"/>
        <w:ind w:left="288"/>
      </w:pPr>
      <w:r>
        <w:rPr>
          <w:rFonts w:ascii="Arial" w:hAnsi="Arial"/>
          <w:sz w:val="20"/>
        </w:rPr>
        <w:t>The contractor's business relations with the Government have been outstanding. The contractor has responded to all 34 Government communications during the period within 24 hours, well within the 5-business-day contractual requirement. The contractor voluntarily participated in two additional working groups (MARFORCOM Physical Readiness Working Group and HQMC Data Analytics Community of Practice) beyond those required by the PWS, contributing to Government-wide fitness program improvement efforts at no additional cost. At the December 2025 quarterly program review, MCINCR-MCBQ's Commanding General specifically commended the contractor team for the quality and accessibility of the readiness dashboards.</w:t>
      </w:r>
    </w:p>
    <w:p>
      <w:pPr>
        <w:spacing w:before="120" w:after="40"/>
      </w:pPr>
      <w:r>
        <w:rPr>
          <w:rFonts w:ascii="Arial" w:hAnsi="Arial"/>
          <w:b/>
          <w:color w:val="333360"/>
          <w:sz w:val="20"/>
        </w:rPr>
        <w:t xml:space="preserve">Small Business Subcontracting (Purple / Very Good): </w:t>
      </w:r>
    </w:p>
    <w:p>
      <w:pPr>
        <w:spacing w:before="0" w:after="160"/>
        <w:ind w:left="288"/>
      </w:pPr>
      <w:r>
        <w:rPr>
          <w:rFonts w:ascii="Arial" w:hAnsi="Arial"/>
          <w:sz w:val="20"/>
        </w:rPr>
        <w:t>The contractor met and slightly exceeded its small business subcontracting goals for the base period. Against a planned 40% small business participation rate, actual performance was 43.1% ($1.39M of $3.22M expended). The contractor utilized two SDVOSB small businesses: DataBridge Analytics, LLC for data pipeline development, and ReadyForce Consulting, LLC for injury epidemiology subject matter support. Both subcontractors have performed at a level consistent with the prime's overall quality standards.</w:t>
      </w:r>
    </w:p>
    <w:p>
      <w:pPr>
        <w:spacing w:before="200" w:after="40"/>
      </w:pPr>
      <w:r>
        <w:rPr>
          <w:rFonts w:ascii="Arial" w:hAnsi="Arial"/>
          <w:b/>
          <w:color w:val="7A3A00"/>
          <w:sz w:val="20"/>
        </w:rPr>
        <w:t>Contractor Response:</w:t>
      </w:r>
    </w:p>
    <w:p>
      <w:pPr>
        <w:spacing w:before="0" w:after="120"/>
        <w:ind w:left="288"/>
        <w:pBdr>
          <w:left w:val="single" w:sz="12" w:space="6" w:color="D4860A"/>
        </w:pBdr>
      </w:pPr>
      <w:r>
        <w:rPr>
          <w:rFonts w:ascii="Arial" w:hAnsi="Arial"/>
          <w:color w:val="443300"/>
          <w:sz w:val="20"/>
        </w:rPr>
        <w:t>Meridian Analytics &amp; Defense Solutions thanks the Contracting Officer's Representative for the thorough and accurate evaluation. We accept all ratings and are proud of the work our team has delivered in support of Marine Corps physical readiness. Regarding the one open management action item related to the HQMC policy clarification: we will continue to monitor and will update the COR within 2 business days of receiving HQMC's response.</w:t>
      </w:r>
    </w:p>
    <w:p>
      <w:r>
        <w:br w:type="page"/>
      </w:r>
    </w:p>
    <w:p>
      <w:pPr>
        <w:spacing w:before="0" w:after="80"/>
        <w:jc w:val="center"/>
      </w:pPr>
      <w:r>
        <w:rPr>
          <w:rFonts w:ascii="Arial" w:hAnsi="Arial"/>
          <w:b/>
          <w:sz w:val="26"/>
        </w:rPr>
        <w:t>CONTRACTOR PERFORMANCE ASSESSMENT REPORT (CPAR)</w:t>
      </w:r>
    </w:p>
    <w:p>
      <w:pPr>
        <w:spacing w:before="0" w:after="240"/>
        <w:jc w:val="center"/>
      </w:pPr>
      <w:r>
        <w:rPr>
          <w:rFonts w:ascii="Arial" w:hAnsi="Arial"/>
          <w:color w:val="666666"/>
          <w:sz w:val="18"/>
        </w:rPr>
        <w:t>Report Type: Interim  |  Period of Performance: 15 Jan 2026 – 15 Apr 2026</w:t>
      </w:r>
    </w:p>
    <w:p>
      <w:pPr>
        <w:spacing w:before="160" w:after="160"/>
        <w:pBdr>
          <w:bottom w:val="single" w:sz="4" w:space="1" w:color="AAAAAA"/>
        </w:pBdr>
      </w:pPr>
    </w:p>
    <w:p>
      <w:pPr>
        <w:spacing w:before="160" w:after="80"/>
      </w:pPr>
      <w:r>
        <w:rPr>
          <w:rFonts w:ascii="Arial" w:hAnsi="Arial"/>
          <w:b/>
          <w:color w:val="333360"/>
          <w:sz w:val="22"/>
        </w:rPr>
        <w:t>Block 1–17: Contract Registration Information</w:t>
      </w:r>
    </w:p>
    <w:p>
      <w:pPr>
        <w:spacing w:before="40" w:after="40"/>
      </w:pPr>
      <w:r>
        <w:rPr>
          <w:rFonts w:ascii="Arial" w:hAnsi="Arial"/>
          <w:b/>
          <w:sz w:val="20"/>
        </w:rPr>
        <w:t xml:space="preserve">Contract Number: </w:t>
      </w:r>
      <w:r>
        <w:rPr>
          <w:rFonts w:ascii="Arial" w:hAnsi="Arial"/>
          <w:sz w:val="20"/>
        </w:rPr>
        <w:t>N6264926C0089</w:t>
      </w:r>
    </w:p>
    <w:p>
      <w:pPr>
        <w:spacing w:before="40" w:after="40"/>
      </w:pPr>
      <w:r>
        <w:rPr>
          <w:rFonts w:ascii="Arial" w:hAnsi="Arial"/>
          <w:b/>
          <w:sz w:val="20"/>
        </w:rPr>
        <w:t xml:space="preserve">Solicitation Number: </w:t>
      </w:r>
      <w:r>
        <w:rPr>
          <w:rFonts w:ascii="Arial" w:hAnsi="Arial"/>
          <w:sz w:val="20"/>
        </w:rPr>
        <w:t>N6264926RA038</w:t>
      </w:r>
    </w:p>
    <w:p>
      <w:pPr>
        <w:spacing w:before="40" w:after="40"/>
      </w:pPr>
      <w:r>
        <w:rPr>
          <w:rFonts w:ascii="Arial" w:hAnsi="Arial"/>
          <w:b/>
          <w:sz w:val="20"/>
        </w:rPr>
        <w:t xml:space="preserve">Contractor Name: </w:t>
      </w:r>
      <w:r>
        <w:rPr>
          <w:rFonts w:ascii="Arial" w:hAnsi="Arial"/>
          <w:sz w:val="20"/>
        </w:rPr>
        <w:t>Yokosuka Maritime Repair Consortium K.K.</w:t>
      </w:r>
    </w:p>
    <w:p>
      <w:pPr>
        <w:spacing w:before="40" w:after="40"/>
      </w:pPr>
      <w:r>
        <w:rPr>
          <w:rFonts w:ascii="Arial" w:hAnsi="Arial"/>
          <w:b/>
          <w:sz w:val="20"/>
        </w:rPr>
        <w:t xml:space="preserve">CAGE Code: </w:t>
      </w:r>
      <w:r>
        <w:rPr>
          <w:rFonts w:ascii="Arial" w:hAnsi="Arial"/>
          <w:sz w:val="20"/>
        </w:rPr>
        <w:t>K8RT4</w:t>
      </w:r>
    </w:p>
    <w:p>
      <w:pPr>
        <w:spacing w:before="40" w:after="40"/>
      </w:pPr>
      <w:r>
        <w:rPr>
          <w:rFonts w:ascii="Arial" w:hAnsi="Arial"/>
          <w:b/>
          <w:sz w:val="20"/>
        </w:rPr>
        <w:t xml:space="preserve">DUNS/UEI: </w:t>
      </w:r>
      <w:r>
        <w:rPr>
          <w:rFonts w:ascii="Arial" w:hAnsi="Arial"/>
          <w:sz w:val="20"/>
        </w:rPr>
        <w:t>334901827</w:t>
      </w:r>
    </w:p>
    <w:p>
      <w:pPr>
        <w:spacing w:before="40" w:after="40"/>
      </w:pPr>
      <w:r>
        <w:rPr>
          <w:rFonts w:ascii="Arial" w:hAnsi="Arial"/>
          <w:b/>
          <w:sz w:val="20"/>
        </w:rPr>
        <w:t xml:space="preserve">NAICS Code: </w:t>
      </w:r>
      <w:r>
        <w:rPr>
          <w:rFonts w:ascii="Arial" w:hAnsi="Arial"/>
          <w:sz w:val="20"/>
        </w:rPr>
        <w:t>336611 – Ship Building and Repairing</w:t>
      </w:r>
    </w:p>
    <w:p>
      <w:pPr>
        <w:spacing w:before="40" w:after="40"/>
      </w:pPr>
      <w:r>
        <w:rPr>
          <w:rFonts w:ascii="Arial" w:hAnsi="Arial"/>
          <w:b/>
          <w:sz w:val="20"/>
        </w:rPr>
        <w:t xml:space="preserve">Business Sector: </w:t>
      </w:r>
      <w:r>
        <w:rPr>
          <w:rFonts w:ascii="Arial" w:hAnsi="Arial"/>
          <w:sz w:val="20"/>
        </w:rPr>
        <w:t>Systems (Ship Repair)</w:t>
      </w:r>
    </w:p>
    <w:p>
      <w:pPr>
        <w:spacing w:before="40" w:after="40"/>
      </w:pPr>
      <w:r>
        <w:rPr>
          <w:rFonts w:ascii="Arial" w:hAnsi="Arial"/>
          <w:b/>
          <w:sz w:val="20"/>
        </w:rPr>
        <w:t xml:space="preserve">Contract Type: </w:t>
      </w:r>
      <w:r>
        <w:rPr>
          <w:rFonts w:ascii="Arial" w:hAnsi="Arial"/>
          <w:sz w:val="20"/>
        </w:rPr>
        <w:t>Firm Fixed Price (FFP)</w:t>
      </w:r>
    </w:p>
    <w:p>
      <w:pPr>
        <w:spacing w:before="40" w:after="40"/>
      </w:pPr>
      <w:r>
        <w:rPr>
          <w:rFonts w:ascii="Arial" w:hAnsi="Arial"/>
          <w:b/>
          <w:sz w:val="20"/>
        </w:rPr>
        <w:t xml:space="preserve">Issued By: </w:t>
      </w:r>
      <w:r>
        <w:rPr>
          <w:rFonts w:ascii="Arial" w:hAnsi="Arial"/>
          <w:sz w:val="20"/>
        </w:rPr>
        <w:t>NAVSUP FLT LOG CTR Yokosuka, PSC 473 Box 11, FPO AP 96349-1500</w:t>
      </w:r>
    </w:p>
    <w:p>
      <w:pPr>
        <w:spacing w:before="40" w:after="40"/>
      </w:pPr>
      <w:r>
        <w:rPr>
          <w:rFonts w:ascii="Arial" w:hAnsi="Arial"/>
          <w:b/>
          <w:sz w:val="20"/>
        </w:rPr>
        <w:t xml:space="preserve">Contracting Officer: </w:t>
      </w:r>
      <w:r>
        <w:rPr>
          <w:rFonts w:ascii="Arial" w:hAnsi="Arial"/>
          <w:sz w:val="20"/>
        </w:rPr>
        <w:t>Kazuya Iwanaga, N62649, 046-816-9974</w:t>
      </w:r>
    </w:p>
    <w:p>
      <w:pPr>
        <w:spacing w:before="40" w:after="40"/>
      </w:pPr>
      <w:r>
        <w:rPr>
          <w:rFonts w:ascii="Arial" w:hAnsi="Arial"/>
          <w:b/>
          <w:sz w:val="20"/>
        </w:rPr>
        <w:t xml:space="preserve">COR / Assessing Official: </w:t>
      </w:r>
      <w:r>
        <w:rPr>
          <w:rFonts w:ascii="Arial" w:hAnsi="Arial"/>
          <w:sz w:val="20"/>
        </w:rPr>
        <w:t>LCDR Steven Park, USS Higgins (DDG-76), Engineer Officer</w:t>
      </w:r>
    </w:p>
    <w:p>
      <w:pPr>
        <w:spacing w:before="40" w:after="40"/>
      </w:pPr>
      <w:r>
        <w:rPr>
          <w:rFonts w:ascii="Arial" w:hAnsi="Arial"/>
          <w:b/>
          <w:sz w:val="20"/>
        </w:rPr>
        <w:t xml:space="preserve">Awarded Value: </w:t>
      </w:r>
      <w:r>
        <w:rPr>
          <w:rFonts w:ascii="Arial" w:hAnsi="Arial"/>
          <w:sz w:val="20"/>
        </w:rPr>
        <w:t>JPY 892,400,000 (approx. $5,930,000 USD at JPY 150.4415)</w:t>
      </w:r>
    </w:p>
    <w:p>
      <w:pPr>
        <w:spacing w:before="40" w:after="40"/>
      </w:pPr>
      <w:r>
        <w:rPr>
          <w:rFonts w:ascii="Arial" w:hAnsi="Arial"/>
          <w:b/>
          <w:sz w:val="20"/>
        </w:rPr>
        <w:t xml:space="preserve">Current Contract Value: </w:t>
      </w:r>
      <w:r>
        <w:rPr>
          <w:rFonts w:ascii="Arial" w:hAnsi="Arial"/>
          <w:sz w:val="20"/>
        </w:rPr>
        <w:t>JPY 892,400,000 (approx. $5,930,000 USD)</w:t>
      </w:r>
    </w:p>
    <w:p>
      <w:pPr>
        <w:spacing w:before="40" w:after="40"/>
      </w:pPr>
      <w:r>
        <w:rPr>
          <w:rFonts w:ascii="Arial" w:hAnsi="Arial"/>
          <w:b/>
          <w:sz w:val="20"/>
        </w:rPr>
        <w:t xml:space="preserve">Contract Completion Date: </w:t>
      </w:r>
      <w:r>
        <w:rPr>
          <w:rFonts w:ascii="Arial" w:hAnsi="Arial"/>
          <w:sz w:val="20"/>
        </w:rPr>
        <w:t>15 April 2026</w:t>
      </w:r>
    </w:p>
    <w:p>
      <w:pPr>
        <w:spacing w:before="40" w:after="40"/>
      </w:pPr>
      <w:r>
        <w:rPr>
          <w:rFonts w:ascii="Arial" w:hAnsi="Arial"/>
          <w:b/>
          <w:sz w:val="20"/>
        </w:rPr>
        <w:t xml:space="preserve">Location of Performance: </w:t>
      </w:r>
      <w:r>
        <w:rPr>
          <w:rFonts w:ascii="Arial" w:hAnsi="Arial"/>
          <w:sz w:val="20"/>
        </w:rPr>
        <w:t>Commander Fleet Activities Yokosuka, Japan</w:t>
      </w:r>
    </w:p>
    <w:p>
      <w:pPr>
        <w:spacing w:before="40" w:after="40"/>
      </w:pPr>
      <w:r>
        <w:rPr>
          <w:rFonts w:ascii="Arial" w:hAnsi="Arial"/>
          <w:b/>
          <w:sz w:val="20"/>
        </w:rPr>
        <w:t xml:space="preserve">Set-Aside: </w:t>
      </w:r>
      <w:r>
        <w:rPr>
          <w:rFonts w:ascii="Arial" w:hAnsi="Arial"/>
          <w:sz w:val="20"/>
        </w:rPr>
        <w:t>Unrestricted</w:t>
      </w:r>
    </w:p>
    <w:p>
      <w:pPr>
        <w:spacing w:before="160" w:after="160"/>
        <w:pBdr>
          <w:bottom w:val="single" w:sz="4" w:space="1" w:color="AAAAAA"/>
        </w:pBdr>
      </w:pPr>
    </w:p>
    <w:p>
      <w:pPr>
        <w:spacing w:before="280" w:after="80"/>
      </w:pPr>
      <w:r>
        <w:rPr>
          <w:rFonts w:ascii="Arial" w:hAnsi="Arial"/>
          <w:b/>
          <w:color w:val="1A1A18"/>
          <w:sz w:val="28"/>
        </w:rPr>
        <w:t>Block 17: Contract Effort Description</w:t>
      </w:r>
    </w:p>
    <w:p>
      <w:pPr>
        <w:spacing w:before="0" w:after="200"/>
        <w:ind w:left="144"/>
      </w:pPr>
      <w:r>
        <w:rPr>
          <w:rFonts w:ascii="Arial" w:hAnsi="Arial"/>
          <w:sz w:val="20"/>
        </w:rPr>
        <w:t>The Contractor provides ship repair and maintenance services for USS Higgins (DDG-76) FY26 6C1 Selected Restricted Availability (SRA) Bundle 2 at Commander Fleet Activities Yokosuka, Japan. The scope encompasses 28 Task Group Instructions (TGIs) covering the following major work items: main reduction gear oil sample analysis and corrective maintenance, SPS-73 radar antenna pedestal bearing replacement, AN/SLQ-32 electronic warfare system cabinet cooling system overhaul, MK 45 5-inch gun mount bore cleaning and lubrication, HVAC system filter housing repairs in engineering spaces, and preservation and painting of weather deck and hull surfaces per MIL-PRF-24667 and MIL-PRF-23236. The contractor is responsible for all management, scheduling, quality assurance, safety, and technical documentation. A Growth Work CLIN (0002) at 9.33% of CLIN 0001 is included for authorized in-scope growth work identified during execution. Award is made in Japanese Yen (JPY) per FY26 Budget Exchange Rate of JPY 150.4415 per USD 1.00.</w:t>
      </w:r>
    </w:p>
    <w:p>
      <w:pPr>
        <w:spacing w:before="160" w:after="160"/>
        <w:pBdr>
          <w:bottom w:val="single" w:sz="4" w:space="1" w:color="AAAAAA"/>
        </w:pBdr>
      </w:pPr>
    </w:p>
    <w:p>
      <w:pPr>
        <w:spacing w:before="280" w:after="80"/>
      </w:pPr>
      <w:r>
        <w:rPr>
          <w:rFonts w:ascii="Arial" w:hAnsi="Arial"/>
          <w:b/>
          <w:color w:val="1A1A18"/>
          <w:sz w:val="28"/>
        </w:rPr>
        <w:t>Block 18 &amp; 20: Ratings and Narratives</w:t>
      </w:r>
    </w:p>
    <w:p>
      <w:pPr>
        <w:spacing w:before="40" w:after="40"/>
      </w:pPr>
      <w:r>
        <w:rPr>
          <w:rFonts w:ascii="Arial" w:hAnsi="Arial"/>
          <w:sz w:val="20"/>
        </w:rPr>
        <w:t xml:space="preserve">  Quality of Product/Service: </w:t>
      </w:r>
      <w:r>
        <w:rPr>
          <w:rFonts w:ascii="Arial" w:hAnsi="Arial"/>
          <w:b/>
          <w:color w:val="8B0000"/>
          <w:sz w:val="20"/>
        </w:rPr>
        <w:t xml:space="preserve">  Red / Unsatisfactory  </w:t>
      </w:r>
    </w:p>
    <w:p>
      <w:pPr>
        <w:spacing w:before="40" w:after="40"/>
      </w:pPr>
      <w:r>
        <w:rPr>
          <w:rFonts w:ascii="Arial" w:hAnsi="Arial"/>
          <w:sz w:val="20"/>
        </w:rPr>
        <w:t xml:space="preserve">  Schedule: </w:t>
      </w:r>
      <w:r>
        <w:rPr>
          <w:rFonts w:ascii="Arial" w:hAnsi="Arial"/>
          <w:b/>
          <w:color w:val="7A5A00"/>
          <w:sz w:val="20"/>
        </w:rPr>
        <w:t xml:space="preserve">  Yellow / Marginal  </w:t>
      </w:r>
    </w:p>
    <w:p>
      <w:pPr>
        <w:spacing w:before="40" w:after="40"/>
      </w:pPr>
      <w:r>
        <w:rPr>
          <w:rFonts w:ascii="Arial" w:hAnsi="Arial"/>
          <w:sz w:val="20"/>
        </w:rPr>
        <w:t xml:space="preserve">  Cost Control: </w:t>
      </w:r>
      <w:r>
        <w:rPr>
          <w:rFonts w:ascii="Arial" w:hAnsi="Arial"/>
          <w:b/>
          <w:color w:val="1A6B2E"/>
          <w:sz w:val="20"/>
        </w:rPr>
        <w:t xml:space="preserve">  Green / Satisfactory  </w:t>
      </w:r>
    </w:p>
    <w:p>
      <w:pPr>
        <w:spacing w:before="40" w:after="40"/>
      </w:pPr>
      <w:r>
        <w:rPr>
          <w:rFonts w:ascii="Arial" w:hAnsi="Arial"/>
          <w:sz w:val="20"/>
        </w:rPr>
        <w:t xml:space="preserve">  Management: </w:t>
      </w:r>
      <w:r>
        <w:rPr>
          <w:rFonts w:ascii="Arial" w:hAnsi="Arial"/>
          <w:b/>
          <w:color w:val="7A5A00"/>
          <w:sz w:val="20"/>
        </w:rPr>
        <w:t xml:space="preserve">  Yellow / Marginal  </w:t>
      </w:r>
    </w:p>
    <w:p>
      <w:pPr>
        <w:spacing w:before="40" w:after="40"/>
      </w:pPr>
      <w:r>
        <w:rPr>
          <w:rFonts w:ascii="Arial" w:hAnsi="Arial"/>
          <w:sz w:val="20"/>
        </w:rPr>
        <w:t xml:space="preserve">  Regulatory Compliance: </w:t>
      </w:r>
      <w:r>
        <w:rPr>
          <w:rFonts w:ascii="Arial" w:hAnsi="Arial"/>
          <w:b/>
          <w:color w:val="1A6B2E"/>
          <w:sz w:val="20"/>
        </w:rPr>
        <w:t xml:space="preserve">  Green / Satisfactory  </w:t>
      </w:r>
    </w:p>
    <w:p>
      <w:pPr>
        <w:spacing w:before="40" w:after="40"/>
      </w:pPr>
      <w:r>
        <w:rPr>
          <w:rFonts w:ascii="Arial" w:hAnsi="Arial"/>
          <w:sz w:val="20"/>
        </w:rPr>
        <w:t xml:space="preserve">  Business Relations: </w:t>
      </w:r>
      <w:r>
        <w:rPr>
          <w:rFonts w:ascii="Arial" w:hAnsi="Arial"/>
          <w:b/>
          <w:color w:val="7A5A00"/>
          <w:sz w:val="20"/>
        </w:rPr>
        <w:t xml:space="preserve">  Yellow / Marginal  </w:t>
      </w:r>
    </w:p>
    <w:p>
      <w:pPr>
        <w:spacing w:before="120" w:after="200"/>
      </w:pPr>
      <w:r>
        <w:rPr>
          <w:rFonts w:ascii="Arial" w:hAnsi="Arial"/>
          <w:b/>
          <w:sz w:val="20"/>
        </w:rPr>
        <w:t>Recommendation to Re-Award: Probably Would Not</w:t>
      </w:r>
    </w:p>
    <w:p>
      <w:pPr>
        <w:spacing w:before="160" w:after="160"/>
        <w:pBdr>
          <w:bottom w:val="single" w:sz="4" w:space="1" w:color="AAAAAA"/>
        </w:pBdr>
      </w:pPr>
    </w:p>
    <w:p>
      <w:pPr>
        <w:spacing w:before="160" w:after="80"/>
      </w:pPr>
      <w:r>
        <w:rPr>
          <w:rFonts w:ascii="Arial" w:hAnsi="Arial"/>
          <w:b/>
          <w:color w:val="333360"/>
          <w:sz w:val="22"/>
        </w:rPr>
        <w:t>Block 20: Supporting Narratives</w:t>
      </w:r>
    </w:p>
    <w:p>
      <w:pPr>
        <w:spacing w:before="120" w:after="40"/>
      </w:pPr>
      <w:r>
        <w:rPr>
          <w:rFonts w:ascii="Arial" w:hAnsi="Arial"/>
          <w:b/>
          <w:color w:val="333360"/>
          <w:sz w:val="20"/>
        </w:rPr>
        <w:t xml:space="preserve">Quality of Product/Service (Red / Unsatisfactory): </w:t>
      </w:r>
    </w:p>
    <w:p>
      <w:pPr>
        <w:spacing w:before="0" w:after="160"/>
        <w:ind w:left="288"/>
      </w:pPr>
      <w:r>
        <w:rPr>
          <w:rFonts w:ascii="Arial" w:hAnsi="Arial"/>
          <w:sz w:val="20"/>
        </w:rPr>
        <w:t>Quality of work during this evaluation period has been Unsatisfactory and constitutes a serious performance problem that has not been adequately resolved. Three significant deficiencies occurred that required Government intervention: (1) On 28 January 2026, the main reduction gear oil sample collected post-maintenance tested positive for elevated copper particulate at 47 ppm, exceeding the 15 ppm corrective action threshold per NSTM Chapter 262. The contractor had completed the oil change using a non-approved lubricant brand (Mobil DTE Heavy, ISO VG 150) rather than the contract-specified Castrol MHP 150. The contractor did not identify this substitution prior to system restoration. A Quality Deficiency Report (QDR N6264926-001) was issued 30 January 2026. The contractor flushed and recharged the system with correct lubricant, but this caused a 12-day delay to propulsion system testing. (2) On 14 February 2026, SPS-73 pedestal bearing installation failed the post-installation rotation check with a binding condition identified at the 290-degree azimuth position. Reinspection determined the bearing race had been installed with incorrect torque on 4 of 16 mounting fasteners; measured torque was 35 ft-lbs against the required 55 ft-lbs per TGI 14-SPS73-003. Deficiency Notice DN-2026-008 was issued. The contractor corrected the installation within 3 days but the error required a second Government inspection cycle. (3) Weather deck preservation work on the 01 level failed DFT inspection on 22 March 2026 at 6 of 18 measurement points, with readings between 4.2 and 5.8 mils against the contract minimum of 6.0 mils. The contractor recoated the affected areas; however, overspray during recoat operations contaminated a topside equipment enclosure requiring additional cleaning labor. The cumulative impact of these three deficiencies on ship systems and schedule reflects a systemic quality management failure.</w:t>
      </w:r>
    </w:p>
    <w:p>
      <w:pPr>
        <w:spacing w:before="120" w:after="40"/>
      </w:pPr>
      <w:r>
        <w:rPr>
          <w:rFonts w:ascii="Arial" w:hAnsi="Arial"/>
          <w:b/>
          <w:color w:val="333360"/>
          <w:sz w:val="20"/>
        </w:rPr>
        <w:t xml:space="preserve">Schedule (Yellow / Marginal): </w:t>
      </w:r>
    </w:p>
    <w:p>
      <w:pPr>
        <w:spacing w:before="0" w:after="160"/>
        <w:ind w:left="288"/>
      </w:pPr>
      <w:r>
        <w:rPr>
          <w:rFonts w:ascii="Arial" w:hAnsi="Arial"/>
          <w:sz w:val="20"/>
        </w:rPr>
        <w:t>Schedule performance is rated Marginal. Of the 28 TGIs, 19 are complete, 7 are in progress, and 2 have not yet begun as of the evaluation date. The contractor's current SPI is 0.84. The primary schedule drivers are the 12-day delay caused by the main reduction gear oil substitution issue described under Quality, and a 7-day delay on MK 45 gun mount work caused by the contractor's failure to pre-order a long-lead bore cleaning brush assembly (NSN 4940-01-234-8871), which the TGI clearly identified as a 21-day procurement lead item. The contractor submitted a revised schedule on 15 March 2026 showing an 8-day slip to the contract completion date. The contractor has added a second shift for interior HVAC work and is working Saturday overtime on weather deck preservation to mitigate slippage. Current projections indicate the ship will depart 6 days after the contractual completion date.</w:t>
      </w:r>
    </w:p>
    <w:p>
      <w:pPr>
        <w:spacing w:before="120" w:after="40"/>
      </w:pPr>
      <w:r>
        <w:rPr>
          <w:rFonts w:ascii="Arial" w:hAnsi="Arial"/>
          <w:b/>
          <w:color w:val="333360"/>
          <w:sz w:val="20"/>
        </w:rPr>
        <w:t xml:space="preserve">Cost Control (Green / Satisfactory): </w:t>
      </w:r>
    </w:p>
    <w:p>
      <w:pPr>
        <w:spacing w:before="0" w:after="160"/>
        <w:ind w:left="288"/>
      </w:pPr>
      <w:r>
        <w:rPr>
          <w:rFonts w:ascii="Arial" w:hAnsi="Arial"/>
          <w:sz w:val="20"/>
        </w:rPr>
        <w:t>Within the fixed-price structure of this contract, the contractor has not submitted requests for equitable adjustment or claims during this evaluation period. Growth Work CLIN 0002 has been utilized for 3 authorized growth items totaling JPY 28,400,000 (approximately $188,800 USD), representing 34% of the growth work ceiling. All three growth work authorizations were properly documented via NAVFAC Engineering Change Proposals before work commenced. Invoicing has been timely and accurate.</w:t>
      </w:r>
    </w:p>
    <w:p>
      <w:pPr>
        <w:spacing w:before="120" w:after="40"/>
      </w:pPr>
      <w:r>
        <w:rPr>
          <w:rFonts w:ascii="Arial" w:hAnsi="Arial"/>
          <w:b/>
          <w:color w:val="333360"/>
          <w:sz w:val="20"/>
        </w:rPr>
        <w:t xml:space="preserve">Management (Yellow / Marginal): </w:t>
      </w:r>
    </w:p>
    <w:p>
      <w:pPr>
        <w:spacing w:before="0" w:after="160"/>
        <w:ind w:left="288"/>
      </w:pPr>
      <w:r>
        <w:rPr>
          <w:rFonts w:ascii="Arial" w:hAnsi="Arial"/>
          <w:sz w:val="20"/>
        </w:rPr>
        <w:t>Management performance during this evaluation period has been Marginal. The contractor's Supervisory Ship Superintendent, Mr. Takashi Morimoto, failed to attend 3 of 11 scheduled Government-contractor progress meetings without prior notification. In 2 of these instances, a junior foreman attended without authority to make commitments on schedule or quality matters, reducing the utility of those meetings. The contractor's Quality Assurance organization failed to identify both the lubricant substitution issue and the SPS-73 torque deficiency prior to Government inspection — both deficiencies should have been caught at the contractor's first article inspection prior to Government witnessing. A Management Deficiency letter (MDL-2026-002) was issued on 5 March 2026 directing the contractor to provide a corrective action plan for its QA process. The CAP received 14 March 2026 proposes additional QA inspector oversight at first article stages; implementation is being monitored.</w:t>
      </w:r>
    </w:p>
    <w:p>
      <w:pPr>
        <w:spacing w:before="120" w:after="40"/>
      </w:pPr>
      <w:r>
        <w:rPr>
          <w:rFonts w:ascii="Arial" w:hAnsi="Arial"/>
          <w:b/>
          <w:color w:val="333360"/>
          <w:sz w:val="20"/>
        </w:rPr>
        <w:t xml:space="preserve">Regulatory Compliance (Green / Satisfactory): </w:t>
      </w:r>
    </w:p>
    <w:p>
      <w:pPr>
        <w:spacing w:before="0" w:after="160"/>
        <w:ind w:left="288"/>
      </w:pPr>
      <w:r>
        <w:rPr>
          <w:rFonts w:ascii="Arial" w:hAnsi="Arial"/>
          <w:sz w:val="20"/>
        </w:rPr>
        <w:t>The contractor has maintained adequate regulatory compliance with CFAY base access, environmental, and safety requirements during the evaluation period. All contractor personnel completed required Japanese base access credentialing prior to project start. One foreign national subcontractor employee was found without a valid CFAY visitor pass during a random security inspection on 8 February 2026; the employee was escorted off the vessel and the pass was renewed the same day. The contractor self-reported this incident to the COR within 2 hours. No environmental or OSHA-equivalent incidents occurred during the evaluation period.</w:t>
      </w:r>
    </w:p>
    <w:p>
      <w:pPr>
        <w:spacing w:before="120" w:after="40"/>
      </w:pPr>
      <w:r>
        <w:rPr>
          <w:rFonts w:ascii="Arial" w:hAnsi="Arial"/>
          <w:b/>
          <w:color w:val="333360"/>
          <w:sz w:val="20"/>
        </w:rPr>
        <w:t xml:space="preserve">Business Relations (Yellow / Marginal): </w:t>
      </w:r>
    </w:p>
    <w:p>
      <w:pPr>
        <w:spacing w:before="0" w:after="160"/>
        <w:ind w:left="288"/>
      </w:pPr>
      <w:r>
        <w:rPr>
          <w:rFonts w:ascii="Arial" w:hAnsi="Arial"/>
          <w:sz w:val="20"/>
        </w:rPr>
        <w:t>Business relations have been adequate but strained during this evaluation period due to the quality and schedule issues described above. The contractor has been responsive to deficiency notices and management directives but responses to routine Government correspondence were late (exceeding 5 business days) on 4 of 19 tracked communications. The contractor's written response to QDR N6264926-001 (submitted 6 February 2026) did not initially acknowledge the root cause of the lubricant substitution; a revised response submitted 12 February 2026 identified a failure in the contractor's material receipt inspection process. The Government notes that communications have improved following the 5 March 2026 management deficiency letter.</w:t>
      </w:r>
    </w:p>
    <w:p>
      <w:pPr>
        <w:spacing w:before="200" w:after="40"/>
      </w:pPr>
      <w:r>
        <w:rPr>
          <w:rFonts w:ascii="Arial" w:hAnsi="Arial"/>
          <w:b/>
          <w:color w:val="7A3A00"/>
          <w:sz w:val="20"/>
        </w:rPr>
        <w:t>Contractor Response:</w:t>
      </w:r>
    </w:p>
    <w:p>
      <w:pPr>
        <w:spacing w:before="0" w:after="120"/>
        <w:ind w:left="288"/>
        <w:pBdr>
          <w:left w:val="single" w:sz="12" w:space="6" w:color="D4860A"/>
        </w:pBdr>
      </w:pPr>
      <w:r>
        <w:rPr>
          <w:rFonts w:ascii="Arial" w:hAnsi="Arial"/>
          <w:color w:val="443300"/>
          <w:sz w:val="20"/>
        </w:rPr>
        <w:t>Yokosuka Maritime Repair Consortium acknowledges the ratings assigned in this evaluation and accepts responsibility for the three quality deficiencies identified. We have implemented the following corrective actions: (1) All material substitutions now require written approval from the Supervisory Ship Superintendent and a Government QA witness prior to material issue from the contractor's warehouse. (2) First article inspections for all TGIs now require a completed contractor QA sign-off sheet prior to requesting Government inspection. (3) Long-lead procurement items have been added to a standing pre-order tracking log that is reviewed at contract kickoff for all future availabilities. Regarding meeting attendance: Mr. Morimoto has been formally counseled and has attended all 4 progress meetings since the management deficiency letter. We respectfully note that the 6-day schedule slip projection cited by the Government does not account for 2 days of delay attributable to the 9-day Government inspection cycle on the SPS-73 bearing work, which exceeded the contractual 7-day Government review period. We will continue to work cooperatively with the COR to complete all remaining TGIs to standard.</w:t>
      </w:r>
    </w:p>
    <w:p>
      <w:r>
        <w:br w:type="page"/>
      </w:r>
    </w:p>
    <w:p>
      <w:pPr>
        <w:spacing w:before="0" w:after="80"/>
        <w:jc w:val="center"/>
      </w:pPr>
      <w:r>
        <w:rPr>
          <w:rFonts w:ascii="Arial" w:hAnsi="Arial"/>
          <w:b/>
          <w:sz w:val="26"/>
        </w:rPr>
        <w:t>CONTRACTOR PERFORMANCE ASSESSMENT REPORT (CPAR)</w:t>
      </w:r>
    </w:p>
    <w:p>
      <w:pPr>
        <w:spacing w:before="0" w:after="240"/>
        <w:jc w:val="center"/>
      </w:pPr>
      <w:r>
        <w:rPr>
          <w:rFonts w:ascii="Arial" w:hAnsi="Arial"/>
          <w:color w:val="666666"/>
          <w:sz w:val="18"/>
        </w:rPr>
        <w:t>Report Type: Final  |  Period of Performance: 10 Feb 2026 – 14 Feb 2026 (3-day course)</w:t>
      </w:r>
    </w:p>
    <w:p>
      <w:pPr>
        <w:spacing w:before="160" w:after="160"/>
        <w:pBdr>
          <w:bottom w:val="single" w:sz="4" w:space="1" w:color="AAAAAA"/>
        </w:pBdr>
      </w:pPr>
    </w:p>
    <w:p>
      <w:pPr>
        <w:spacing w:before="160" w:after="80"/>
      </w:pPr>
      <w:r>
        <w:rPr>
          <w:rFonts w:ascii="Arial" w:hAnsi="Arial"/>
          <w:b/>
          <w:color w:val="333360"/>
          <w:sz w:val="22"/>
        </w:rPr>
        <w:t>Block 1–17: Contract Registration Information</w:t>
      </w:r>
    </w:p>
    <w:p>
      <w:pPr>
        <w:spacing w:before="40" w:after="40"/>
      </w:pPr>
      <w:r>
        <w:rPr>
          <w:rFonts w:ascii="Arial" w:hAnsi="Arial"/>
          <w:b/>
          <w:sz w:val="20"/>
        </w:rPr>
        <w:t xml:space="preserve">Contract Number: </w:t>
      </w:r>
      <w:r>
        <w:rPr>
          <w:rFonts w:ascii="Arial" w:hAnsi="Arial"/>
          <w:sz w:val="20"/>
        </w:rPr>
        <w:t>N0018926P0412</w:t>
      </w:r>
    </w:p>
    <w:p>
      <w:pPr>
        <w:spacing w:before="40" w:after="40"/>
      </w:pPr>
      <w:r>
        <w:rPr>
          <w:rFonts w:ascii="Arial" w:hAnsi="Arial"/>
          <w:b/>
          <w:sz w:val="20"/>
        </w:rPr>
        <w:t xml:space="preserve">Solicitation Number: </w:t>
      </w:r>
      <w:r>
        <w:rPr>
          <w:rFonts w:ascii="Arial" w:hAnsi="Arial"/>
          <w:sz w:val="20"/>
        </w:rPr>
        <w:t>N0018926QL069</w:t>
      </w:r>
    </w:p>
    <w:p>
      <w:pPr>
        <w:spacing w:before="40" w:after="40"/>
      </w:pPr>
      <w:r>
        <w:rPr>
          <w:rFonts w:ascii="Arial" w:hAnsi="Arial"/>
          <w:b/>
          <w:sz w:val="20"/>
        </w:rPr>
        <w:t xml:space="preserve">Contractor Name: </w:t>
      </w:r>
      <w:r>
        <w:rPr>
          <w:rFonts w:ascii="Arial" w:hAnsi="Arial"/>
          <w:sz w:val="20"/>
        </w:rPr>
        <w:t>Viasat, Inc.</w:t>
      </w:r>
    </w:p>
    <w:p>
      <w:pPr>
        <w:spacing w:before="40" w:after="40"/>
      </w:pPr>
      <w:r>
        <w:rPr>
          <w:rFonts w:ascii="Arial" w:hAnsi="Arial"/>
          <w:b/>
          <w:sz w:val="20"/>
        </w:rPr>
        <w:t xml:space="preserve">CAGE Code: </w:t>
      </w:r>
      <w:r>
        <w:rPr>
          <w:rFonts w:ascii="Arial" w:hAnsi="Arial"/>
          <w:sz w:val="20"/>
        </w:rPr>
        <w:t>1EYH5</w:t>
      </w:r>
    </w:p>
    <w:p>
      <w:pPr>
        <w:spacing w:before="40" w:after="40"/>
      </w:pPr>
      <w:r>
        <w:rPr>
          <w:rFonts w:ascii="Arial" w:hAnsi="Arial"/>
          <w:b/>
          <w:sz w:val="20"/>
        </w:rPr>
        <w:t xml:space="preserve">DUNS/UEI: </w:t>
      </w:r>
      <w:r>
        <w:rPr>
          <w:rFonts w:ascii="Arial" w:hAnsi="Arial"/>
          <w:sz w:val="20"/>
        </w:rPr>
        <w:t>006708798</w:t>
      </w:r>
    </w:p>
    <w:p>
      <w:pPr>
        <w:spacing w:before="40" w:after="40"/>
      </w:pPr>
      <w:r>
        <w:rPr>
          <w:rFonts w:ascii="Arial" w:hAnsi="Arial"/>
          <w:b/>
          <w:sz w:val="20"/>
        </w:rPr>
        <w:t xml:space="preserve">NAICS Code: </w:t>
      </w:r>
      <w:r>
        <w:rPr>
          <w:rFonts w:ascii="Arial" w:hAnsi="Arial"/>
          <w:sz w:val="20"/>
        </w:rPr>
        <w:t>611519 – Other Technical and Trade Schools</w:t>
      </w:r>
    </w:p>
    <w:p>
      <w:pPr>
        <w:spacing w:before="40" w:after="40"/>
      </w:pPr>
      <w:r>
        <w:rPr>
          <w:rFonts w:ascii="Arial" w:hAnsi="Arial"/>
          <w:b/>
          <w:sz w:val="20"/>
        </w:rPr>
        <w:t xml:space="preserve">Business Sector: </w:t>
      </w:r>
      <w:r>
        <w:rPr>
          <w:rFonts w:ascii="Arial" w:hAnsi="Arial"/>
          <w:sz w:val="20"/>
        </w:rPr>
        <w:t>Services / IT / Operations Support</w:t>
      </w:r>
    </w:p>
    <w:p>
      <w:pPr>
        <w:spacing w:before="40" w:after="40"/>
      </w:pPr>
      <w:r>
        <w:rPr>
          <w:rFonts w:ascii="Arial" w:hAnsi="Arial"/>
          <w:b/>
          <w:sz w:val="20"/>
        </w:rPr>
        <w:t xml:space="preserve">Contract Type: </w:t>
      </w:r>
      <w:r>
        <w:rPr>
          <w:rFonts w:ascii="Arial" w:hAnsi="Arial"/>
          <w:sz w:val="20"/>
        </w:rPr>
        <w:t>Firm Fixed Price (FFP)</w:t>
      </w:r>
    </w:p>
    <w:p>
      <w:pPr>
        <w:spacing w:before="40" w:after="40"/>
      </w:pPr>
      <w:r>
        <w:rPr>
          <w:rFonts w:ascii="Arial" w:hAnsi="Arial"/>
          <w:b/>
          <w:sz w:val="20"/>
        </w:rPr>
        <w:t xml:space="preserve">Issued By: </w:t>
      </w:r>
      <w:r>
        <w:rPr>
          <w:rFonts w:ascii="Arial" w:hAnsi="Arial"/>
          <w:sz w:val="20"/>
        </w:rPr>
        <w:t>NAVSUP FLT LOG CTR Norfolk, Code 301, 1968 Gilbert Street Suite 600, Norfolk VA 23511-3392</w:t>
      </w:r>
    </w:p>
    <w:p>
      <w:pPr>
        <w:spacing w:before="40" w:after="40"/>
      </w:pPr>
      <w:r>
        <w:rPr>
          <w:rFonts w:ascii="Arial" w:hAnsi="Arial"/>
          <w:b/>
          <w:sz w:val="20"/>
        </w:rPr>
        <w:t xml:space="preserve">Contracting Officer: </w:t>
      </w:r>
      <w:r>
        <w:rPr>
          <w:rFonts w:ascii="Arial" w:hAnsi="Arial"/>
          <w:sz w:val="20"/>
        </w:rPr>
        <w:t>Kaye-Shana Paja, N00189, 771-229-3571</w:t>
      </w:r>
    </w:p>
    <w:p>
      <w:pPr>
        <w:spacing w:before="40" w:after="40"/>
      </w:pPr>
      <w:r>
        <w:rPr>
          <w:rFonts w:ascii="Arial" w:hAnsi="Arial"/>
          <w:b/>
          <w:sz w:val="20"/>
        </w:rPr>
        <w:t xml:space="preserve">COR / Assessing Official: </w:t>
      </w:r>
      <w:r>
        <w:rPr>
          <w:rFonts w:ascii="Arial" w:hAnsi="Arial"/>
          <w:sz w:val="20"/>
        </w:rPr>
        <w:t>IT1 Marcus Webb, Naval Station Norfolk Communications Division</w:t>
      </w:r>
    </w:p>
    <w:p>
      <w:pPr>
        <w:spacing w:before="40" w:after="40"/>
      </w:pPr>
      <w:r>
        <w:rPr>
          <w:rFonts w:ascii="Arial" w:hAnsi="Arial"/>
          <w:b/>
          <w:sz w:val="20"/>
        </w:rPr>
        <w:t xml:space="preserve">Awarded Value: </w:t>
      </w:r>
      <w:r>
        <w:rPr>
          <w:rFonts w:ascii="Arial" w:hAnsi="Arial"/>
          <w:sz w:val="20"/>
        </w:rPr>
        <w:t>$24,750.00</w:t>
      </w:r>
    </w:p>
    <w:p>
      <w:pPr>
        <w:spacing w:before="40" w:after="40"/>
      </w:pPr>
      <w:r>
        <w:rPr>
          <w:rFonts w:ascii="Arial" w:hAnsi="Arial"/>
          <w:b/>
          <w:sz w:val="20"/>
        </w:rPr>
        <w:t xml:space="preserve">Current Contract Value: </w:t>
      </w:r>
      <w:r>
        <w:rPr>
          <w:rFonts w:ascii="Arial" w:hAnsi="Arial"/>
          <w:sz w:val="20"/>
        </w:rPr>
        <w:t>$24,750.00</w:t>
      </w:r>
    </w:p>
    <w:p>
      <w:pPr>
        <w:spacing w:before="40" w:after="40"/>
      </w:pPr>
      <w:r>
        <w:rPr>
          <w:rFonts w:ascii="Arial" w:hAnsi="Arial"/>
          <w:b/>
          <w:sz w:val="20"/>
        </w:rPr>
        <w:t xml:space="preserve">Contract Completion Date: </w:t>
      </w:r>
      <w:r>
        <w:rPr>
          <w:rFonts w:ascii="Arial" w:hAnsi="Arial"/>
          <w:sz w:val="20"/>
        </w:rPr>
        <w:t>14 February 2026</w:t>
      </w:r>
    </w:p>
    <w:p>
      <w:pPr>
        <w:spacing w:before="40" w:after="40"/>
      </w:pPr>
      <w:r>
        <w:rPr>
          <w:rFonts w:ascii="Arial" w:hAnsi="Arial"/>
          <w:b/>
          <w:sz w:val="20"/>
        </w:rPr>
        <w:t xml:space="preserve">Location of Performance: </w:t>
      </w:r>
      <w:r>
        <w:rPr>
          <w:rFonts w:ascii="Arial" w:hAnsi="Arial"/>
          <w:sz w:val="20"/>
        </w:rPr>
        <w:t>Viasat, Inc. Training Facility, Carlsbad, CA 92010</w:t>
      </w:r>
    </w:p>
    <w:p>
      <w:pPr>
        <w:spacing w:before="40" w:after="40"/>
      </w:pPr>
      <w:r>
        <w:rPr>
          <w:rFonts w:ascii="Arial" w:hAnsi="Arial"/>
          <w:b/>
          <w:sz w:val="20"/>
        </w:rPr>
        <w:t xml:space="preserve">Set-Aside: </w:t>
      </w:r>
      <w:r>
        <w:rPr>
          <w:rFonts w:ascii="Arial" w:hAnsi="Arial"/>
          <w:sz w:val="20"/>
        </w:rPr>
        <w:t>Unrestricted</w:t>
      </w:r>
    </w:p>
    <w:p>
      <w:pPr>
        <w:spacing w:before="160" w:after="160"/>
        <w:pBdr>
          <w:bottom w:val="single" w:sz="4" w:space="1" w:color="AAAAAA"/>
        </w:pBdr>
      </w:pPr>
    </w:p>
    <w:p>
      <w:pPr>
        <w:spacing w:before="280" w:after="80"/>
      </w:pPr>
      <w:r>
        <w:rPr>
          <w:rFonts w:ascii="Arial" w:hAnsi="Arial"/>
          <w:b/>
          <w:color w:val="1A1A18"/>
          <w:sz w:val="28"/>
        </w:rPr>
        <w:t>Block 17: Contract Effort Description</w:t>
      </w:r>
    </w:p>
    <w:p>
      <w:pPr>
        <w:spacing w:before="0" w:after="200"/>
        <w:ind w:left="144"/>
      </w:pPr>
      <w:r>
        <w:rPr>
          <w:rFonts w:ascii="Arial" w:hAnsi="Arial"/>
          <w:sz w:val="20"/>
        </w:rPr>
        <w:t>The Contractor provides a 3-day instructor-led training course for the RT-1829 Ultra-High Frequency (UHF) Satellite Communication (SATCOM) Terminal (Part Number 1157168) at the Viasat, Inc. training facility in Carlsbad, California. The course accommodates up to 8 Navy personnel and includes hands-on equipment operation, fault isolation procedures, antenna alignment, encryption loading (KYK-13/KY-57 fill device procedures), and system-level troubleshooting in accordance with the attached Statement of Work. Training materials, classroom instruction, and all required training equipment are provided by the Contractor. Travel and per diem for Government personnel are not within scope.</w:t>
      </w:r>
    </w:p>
    <w:p>
      <w:pPr>
        <w:spacing w:before="160" w:after="160"/>
        <w:pBdr>
          <w:bottom w:val="single" w:sz="4" w:space="1" w:color="AAAAAA"/>
        </w:pBdr>
      </w:pPr>
    </w:p>
    <w:p>
      <w:pPr>
        <w:spacing w:before="280" w:after="80"/>
      </w:pPr>
      <w:r>
        <w:rPr>
          <w:rFonts w:ascii="Arial" w:hAnsi="Arial"/>
          <w:b/>
          <w:color w:val="1A1A18"/>
          <w:sz w:val="28"/>
        </w:rPr>
        <w:t>Block 18 &amp; 20: Ratings and Narratives</w:t>
      </w:r>
    </w:p>
    <w:p>
      <w:pPr>
        <w:spacing w:before="40" w:after="40"/>
      </w:pPr>
      <w:r>
        <w:rPr>
          <w:rFonts w:ascii="Arial" w:hAnsi="Arial"/>
          <w:sz w:val="20"/>
        </w:rPr>
        <w:t xml:space="preserve">  Quality of Product/Service: </w:t>
      </w:r>
      <w:r>
        <w:rPr>
          <w:rFonts w:ascii="Arial" w:hAnsi="Arial"/>
          <w:b/>
          <w:color w:val="1A6B2E"/>
          <w:sz w:val="20"/>
        </w:rPr>
        <w:t xml:space="preserve">  Green / Satisfactory  </w:t>
      </w:r>
    </w:p>
    <w:p>
      <w:pPr>
        <w:spacing w:before="40" w:after="40"/>
      </w:pPr>
      <w:r>
        <w:rPr>
          <w:rFonts w:ascii="Arial" w:hAnsi="Arial"/>
          <w:sz w:val="20"/>
        </w:rPr>
        <w:t xml:space="preserve">  Schedule: </w:t>
      </w:r>
      <w:r>
        <w:rPr>
          <w:rFonts w:ascii="Arial" w:hAnsi="Arial"/>
          <w:b/>
          <w:color w:val="1A6B2E"/>
          <w:sz w:val="20"/>
        </w:rPr>
        <w:t xml:space="preserve">  Green / Satisfactory  </w:t>
      </w:r>
    </w:p>
    <w:p>
      <w:pPr>
        <w:spacing w:before="40" w:after="40"/>
      </w:pPr>
      <w:r>
        <w:rPr>
          <w:rFonts w:ascii="Arial" w:hAnsi="Arial"/>
          <w:sz w:val="20"/>
        </w:rPr>
        <w:t xml:space="preserve">  Cost Control: </w:t>
      </w:r>
      <w:r>
        <w:rPr>
          <w:rFonts w:ascii="Arial" w:hAnsi="Arial"/>
          <w:b/>
          <w:color w:val="1A6B2E"/>
          <w:sz w:val="20"/>
        </w:rPr>
        <w:t xml:space="preserve">  Green / Satisfactory  </w:t>
      </w:r>
    </w:p>
    <w:p>
      <w:pPr>
        <w:spacing w:before="40" w:after="40"/>
      </w:pPr>
      <w:r>
        <w:rPr>
          <w:rFonts w:ascii="Arial" w:hAnsi="Arial"/>
          <w:sz w:val="20"/>
        </w:rPr>
        <w:t xml:space="preserve">  Management: </w:t>
      </w:r>
      <w:r>
        <w:rPr>
          <w:rFonts w:ascii="Arial" w:hAnsi="Arial"/>
          <w:b/>
          <w:color w:val="4B0D82"/>
          <w:sz w:val="20"/>
        </w:rPr>
        <w:t xml:space="preserve">  Purple / Very Good  </w:t>
      </w:r>
    </w:p>
    <w:p>
      <w:pPr>
        <w:spacing w:before="40" w:after="40"/>
      </w:pPr>
      <w:r>
        <w:rPr>
          <w:rFonts w:ascii="Arial" w:hAnsi="Arial"/>
          <w:sz w:val="20"/>
        </w:rPr>
        <w:t xml:space="preserve">  Regulatory Compliance: </w:t>
      </w:r>
      <w:r>
        <w:rPr>
          <w:rFonts w:ascii="Arial" w:hAnsi="Arial"/>
          <w:b/>
          <w:color w:val="1A6B2E"/>
          <w:sz w:val="20"/>
        </w:rPr>
        <w:t xml:space="preserve">  Green / Satisfactory  </w:t>
      </w:r>
    </w:p>
    <w:p>
      <w:pPr>
        <w:spacing w:before="40" w:after="40"/>
      </w:pPr>
      <w:r>
        <w:rPr>
          <w:rFonts w:ascii="Arial" w:hAnsi="Arial"/>
          <w:sz w:val="20"/>
        </w:rPr>
        <w:t xml:space="preserve">  Business Relations: </w:t>
      </w:r>
      <w:r>
        <w:rPr>
          <w:rFonts w:ascii="Arial" w:hAnsi="Arial"/>
          <w:b/>
          <w:color w:val="1A6B2E"/>
          <w:sz w:val="20"/>
        </w:rPr>
        <w:t xml:space="preserve">  Green / Satisfactory  </w:t>
      </w:r>
    </w:p>
    <w:p>
      <w:pPr>
        <w:spacing w:before="40" w:after="40"/>
      </w:pPr>
      <w:r>
        <w:rPr>
          <w:rFonts w:ascii="Arial" w:hAnsi="Arial"/>
          <w:sz w:val="20"/>
        </w:rPr>
        <w:t xml:space="preserve">  Small Business Subcontracting: </w:t>
      </w:r>
      <w:r>
        <w:rPr>
          <w:rFonts w:ascii="Arial" w:hAnsi="Arial"/>
          <w:b/>
          <w:color w:val="555555"/>
          <w:sz w:val="20"/>
        </w:rPr>
        <w:t xml:space="preserve">  N/A  </w:t>
      </w:r>
    </w:p>
    <w:p>
      <w:pPr>
        <w:spacing w:before="120" w:after="200"/>
      </w:pPr>
      <w:r>
        <w:rPr>
          <w:rFonts w:ascii="Arial" w:hAnsi="Arial"/>
          <w:b/>
          <w:sz w:val="20"/>
        </w:rPr>
        <w:t>Recommendation to Re-Award: Definitely Would</w:t>
      </w:r>
    </w:p>
    <w:p>
      <w:pPr>
        <w:spacing w:before="160" w:after="160"/>
        <w:pBdr>
          <w:bottom w:val="single" w:sz="4" w:space="1" w:color="AAAAAA"/>
        </w:pBdr>
      </w:pPr>
    </w:p>
    <w:p>
      <w:pPr>
        <w:spacing w:before="160" w:after="80"/>
      </w:pPr>
      <w:r>
        <w:rPr>
          <w:rFonts w:ascii="Arial" w:hAnsi="Arial"/>
          <w:b/>
          <w:color w:val="333360"/>
          <w:sz w:val="22"/>
        </w:rPr>
        <w:t>Block 20: Supporting Narratives</w:t>
      </w:r>
    </w:p>
    <w:p>
      <w:pPr>
        <w:spacing w:before="120" w:after="40"/>
      </w:pPr>
      <w:r>
        <w:rPr>
          <w:rFonts w:ascii="Arial" w:hAnsi="Arial"/>
          <w:b/>
          <w:color w:val="333360"/>
          <w:sz w:val="20"/>
        </w:rPr>
        <w:t xml:space="preserve">Quality of Product/Service (Green / Satisfactory): </w:t>
      </w:r>
    </w:p>
    <w:p>
      <w:pPr>
        <w:spacing w:before="0" w:after="160"/>
        <w:ind w:left="288"/>
      </w:pPr>
      <w:r>
        <w:rPr>
          <w:rFonts w:ascii="Arial" w:hAnsi="Arial"/>
          <w:sz w:val="20"/>
        </w:rPr>
        <w:t>Viasat delivered the RT-1829 UHF SATCOM Terminal training course in accordance with the Statement of Work. 7 of 8 Government-nominated attendees completed the course; 1 attendee was unable to attend due to a PCS order received after course registration. All 7 completing personnel passed the end-of-course practical examination with scores of 80% or above on the written assessment; the mean score was 87%. Hands-on fault isolation exercises using live RT-1829 equipment were conducted as described in the SOW. Course materials (operator manual excerpts, troubleshooting guides, and antenna alignment worksheets) were provided in printed and digital format. The nature of this fixed-price training contract does not provide an opportunity for performance above the Satisfactory level; the contractor met all contractual requirements.</w:t>
      </w:r>
    </w:p>
    <w:p>
      <w:pPr>
        <w:spacing w:before="120" w:after="40"/>
      </w:pPr>
      <w:r>
        <w:rPr>
          <w:rFonts w:ascii="Arial" w:hAnsi="Arial"/>
          <w:b/>
          <w:color w:val="333360"/>
          <w:sz w:val="20"/>
        </w:rPr>
        <w:t xml:space="preserve">Schedule (Green / Satisfactory): </w:t>
      </w:r>
    </w:p>
    <w:p>
      <w:pPr>
        <w:spacing w:before="0" w:after="160"/>
        <w:ind w:left="288"/>
      </w:pPr>
      <w:r>
        <w:rPr>
          <w:rFonts w:ascii="Arial" w:hAnsi="Arial"/>
          <w:sz w:val="20"/>
        </w:rPr>
        <w:t>Training was conducted on the contractually specified dates of 10 through 14 February 2026 (Tuesday through Thursday, 8 hours per day). The course commenced on time each day. All SOW-required training modules were completed within the scheduled timeframe.</w:t>
      </w:r>
    </w:p>
    <w:p>
      <w:pPr>
        <w:spacing w:before="120" w:after="40"/>
      </w:pPr>
      <w:r>
        <w:rPr>
          <w:rFonts w:ascii="Arial" w:hAnsi="Arial"/>
          <w:b/>
          <w:color w:val="333360"/>
          <w:sz w:val="20"/>
        </w:rPr>
        <w:t xml:space="preserve">Cost Control (Green / Satisfactory): </w:t>
      </w:r>
    </w:p>
    <w:p>
      <w:pPr>
        <w:spacing w:before="0" w:after="160"/>
        <w:ind w:left="288"/>
      </w:pPr>
      <w:r>
        <w:rPr>
          <w:rFonts w:ascii="Arial" w:hAnsi="Arial"/>
          <w:sz w:val="20"/>
        </w:rPr>
        <w:t>The contract was executed at the awarded price of $24,750.00 with no modifications or requests for equitable adjustment. The single invoice submitted was accurate and processed without exception.</w:t>
      </w:r>
    </w:p>
    <w:p>
      <w:pPr>
        <w:spacing w:before="120" w:after="40"/>
      </w:pPr>
      <w:r>
        <w:rPr>
          <w:rFonts w:ascii="Arial" w:hAnsi="Arial"/>
          <w:b/>
          <w:color w:val="333360"/>
          <w:sz w:val="20"/>
        </w:rPr>
        <w:t xml:space="preserve">Management (Purple / Very Good): </w:t>
      </w:r>
    </w:p>
    <w:p>
      <w:pPr>
        <w:spacing w:before="0" w:after="160"/>
        <w:ind w:left="288"/>
      </w:pPr>
      <w:r>
        <w:rPr>
          <w:rFonts w:ascii="Arial" w:hAnsi="Arial"/>
          <w:sz w:val="20"/>
        </w:rPr>
        <w:t>Viasat's training coordinator, Ms. Jennifer Okafor, provided proactive pre-course communication to the COR that reduced administrative friction significantly. Fourteen days prior to course start, Ms. Okafor distributed a pre-course checklist confirming facility access procedures, required personal protective equipment for the antenna range exercise, and a reminder that the KY-57 fill device exercise requires personnel with appropriate clearance, enabling the Government to confirm eligibility of all attendees in advance. This pre-coordination prevented what would otherwise have been a disruption to the encryption loading module. The COR has conducted this course at Viasat twice previously and notes that pre-course communication has been markedly more thorough under Ms. Okafor's coordination than under prior Viasat points of contact.</w:t>
      </w:r>
    </w:p>
    <w:p>
      <w:pPr>
        <w:spacing w:before="120" w:after="40"/>
      </w:pPr>
      <w:r>
        <w:rPr>
          <w:rFonts w:ascii="Arial" w:hAnsi="Arial"/>
          <w:b/>
          <w:color w:val="333360"/>
          <w:sz w:val="20"/>
        </w:rPr>
        <w:t xml:space="preserve">Regulatory Compliance (Green / Satisfactory): </w:t>
      </w:r>
    </w:p>
    <w:p>
      <w:pPr>
        <w:spacing w:before="0" w:after="160"/>
        <w:ind w:left="288"/>
      </w:pPr>
      <w:r>
        <w:rPr>
          <w:rFonts w:ascii="Arial" w:hAnsi="Arial"/>
          <w:sz w:val="20"/>
        </w:rPr>
        <w:t>All contractor personnel and facility requirements met applicable regulatory standards. Facility access for 7 Government personnel was coordinated without issue. The encryption loading module was conducted in a GSA-approved closed area per NSTISSI 7003 requirements. No compliance issues occurred during the performance period.</w:t>
      </w:r>
    </w:p>
    <w:p>
      <w:pPr>
        <w:spacing w:before="120" w:after="40"/>
      </w:pPr>
      <w:r>
        <w:rPr>
          <w:rFonts w:ascii="Arial" w:hAnsi="Arial"/>
          <w:b/>
          <w:color w:val="333360"/>
          <w:sz w:val="20"/>
        </w:rPr>
        <w:t xml:space="preserve">Business Relations (Green / Satisfactory): </w:t>
      </w:r>
    </w:p>
    <w:p>
      <w:pPr>
        <w:spacing w:before="0" w:after="160"/>
        <w:ind w:left="288"/>
      </w:pPr>
      <w:r>
        <w:rPr>
          <w:rFonts w:ascii="Arial" w:hAnsi="Arial"/>
          <w:sz w:val="20"/>
        </w:rPr>
        <w:t>The contractor maintained professional and timely communication throughout the performance period. Pre-course correspondence was responsive and complete. Post-course, the contractor provided course completion certificates for all 7 graduates within 3 business days, which the COR notes is faster than the 10-day SOW requirement.</w:t>
      </w:r>
    </w:p>
    <w:p>
      <w:pPr>
        <w:spacing w:before="200" w:after="40"/>
      </w:pPr>
      <w:r>
        <w:rPr>
          <w:rFonts w:ascii="Arial" w:hAnsi="Arial"/>
          <w:b/>
          <w:color w:val="7A3A00"/>
          <w:sz w:val="20"/>
        </w:rPr>
        <w:t>Contractor Response:</w:t>
      </w:r>
    </w:p>
    <w:p>
      <w:pPr>
        <w:spacing w:before="0" w:after="120"/>
        <w:ind w:left="288"/>
        <w:pBdr>
          <w:left w:val="single" w:sz="12" w:space="6" w:color="D4860A"/>
        </w:pBdr>
      </w:pPr>
      <w:r>
        <w:rPr>
          <w:rFonts w:ascii="Arial" w:hAnsi="Arial"/>
          <w:color w:val="443300"/>
          <w:sz w:val="20"/>
        </w:rPr>
        <w:t>Viasat, Inc. thanks the Contracting Officer's Representative for the positive evaluation and is pleased that our RT-1829 training program met the Navy's requirements. We note that the 8th registered student's non-attendance was due to factors outside our control. We accept all ratings as accurate. We look forward to supporting future SATCOM training requirements for NAVSUP Fleet Logistics Center Norfolk.</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