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003366"/>
          <w:sz w:val="36"/>
          <w:szCs w:val="36"/>
        </w:rPr>
        <w:t xml:space="preserve">CONTRACTOR PERFORMANCE ASSESSMENT REPORT (CPAR)</w:t>
      </w:r>
    </w:p>
    <w:p>
      <w:pPr>
        <w:spacing w:after="240" w:before="0"/>
        <w:jc w:val="center"/>
      </w:pPr>
      <w:r>
        <w:rPr>
          <w:rFonts w:ascii="Arial" w:cs="Arial" w:eastAsia="Arial" w:hAnsi="Arial"/>
          <w:color w:val="444444"/>
          <w:sz w:val="26"/>
          <w:szCs w:val="26"/>
        </w:rPr>
        <w:t xml:space="preserve">Systems / IT — Option Year 1 Assessment</w:t>
      </w:r>
    </w:p>
    <w:p>
      <w:pPr>
        <w:pStyle w:val="Heading1"/>
        <w:spacing w:after="120" w:before="240"/>
      </w:pPr>
      <w:r>
        <w:rPr>
          <w:rFonts w:ascii="Arial" w:cs="Arial" w:eastAsia="Arial" w:hAnsi="Arial"/>
          <w:b/>
          <w:bCs/>
          <w:color w:val="003366"/>
          <w:sz w:val="26"/>
          <w:szCs w:val="26"/>
        </w:rPr>
        <w:t xml:space="preserve">Blocks 1–17: Registered Contract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Block 1: CAGE Code</w:t>
            </w:r>
          </w:p>
        </w:tc>
        <w:tc>
          <w:tcPr>
            <w:tcW w:type="dxa" w:w="62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b w:val="false"/>
                <w:bCs w:val="false"/>
                <w:sz w:val="20"/>
                <w:szCs w:val="20"/>
              </w:rPr>
              <w:t xml:space="preserve">XXXXX (Apex Systems Engineering, Inc.)</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Block 1: DUNS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XX-XXX-XXXX</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Block 2: Report Type</w:t>
            </w:r>
          </w:p>
        </w:tc>
        <w:tc>
          <w:tcPr>
            <w:tcW w:type="dxa" w:w="62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b w:val="false"/>
                <w:bCs w:val="false"/>
                <w:sz w:val="20"/>
                <w:szCs w:val="20"/>
              </w:rPr>
              <w:t xml:space="preserve">Intermediate — Option Year 1</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Block 4: Business Sector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Systems / IT</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Block 6: Performance Location</w:t>
            </w:r>
          </w:p>
        </w:tc>
        <w:tc>
          <w:tcPr>
            <w:tcW w:type="dxa" w:w="62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b w:val="false"/>
                <w:bCs w:val="false"/>
                <w:sz w:val="20"/>
                <w:szCs w:val="20"/>
              </w:rPr>
              <w:t xml:space="preserve">Naval Research Laboratory, 4555 Overlook Ave SW, Washington, DC 20375</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Block 7: Contract Number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N00173-25-C-XXXX</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Block 9: Contracting Officer</w:t>
            </w:r>
          </w:p>
        </w:tc>
        <w:tc>
          <w:tcPr>
            <w:tcW w:type="dxa" w:w="62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b w:val="false"/>
                <w:bCs w:val="false"/>
                <w:sz w:val="20"/>
                <w:szCs w:val="20"/>
              </w:rPr>
              <w:t xml:space="preserve">Callan T. Walsh, NRL Code N00173</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Block 11: Contract Completion Date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 September 2029 (including all option periods)</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Block 12: Awarded Contract Value</w:t>
            </w:r>
          </w:p>
        </w:tc>
        <w:tc>
          <w:tcPr>
            <w:tcW w:type="dxa" w:w="62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b w:val="false"/>
                <w:bCs w:val="false"/>
                <w:sz w:val="20"/>
                <w:szCs w:val="20"/>
              </w:rPr>
              <w:t xml:space="preserve">$42,250,000 (all periods, estimated)</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Block 12: Current Dollar Value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$8,450,000 (Base Year) + $8,800,000 (OY1) = $17,250,000 obligated to date</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Block 15: Subcontractors</w:t>
            </w:r>
          </w:p>
        </w:tc>
        <w:tc>
          <w:tcPr>
            <w:tcW w:type="dxa" w:w="62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b w:val="false"/>
                <w:bCs w:val="false"/>
                <w:sz w:val="20"/>
                <w:szCs w:val="20"/>
              </w:rPr>
              <w:t xml:space="preserve">Meridian Technical Solutions, LLC — architecture documentation support, estimated 26% of labor effort (OY1). Performance assessed under prime only per CPARS policy.</w:t>
            </w:r>
          </w:p>
        </w:tc>
      </w:tr>
    </w:tbl>
    <w:p>
      <w:pPr>
        <w:spacing w:after="60" w:before="60"/>
      </w:pPr>
      <w:r>
        <w:t xml:space="preserve"/>
      </w:r>
    </w:p>
    <w:p>
      <w:pPr>
        <w:pStyle w:val="Heading1"/>
        <w:spacing w:after="120" w:before="240"/>
      </w:pPr>
      <w:r>
        <w:rPr>
          <w:rFonts w:ascii="Arial" w:cs="Arial" w:eastAsia="Arial" w:hAnsi="Arial"/>
          <w:b/>
          <w:bCs/>
          <w:color w:val="003366"/>
          <w:sz w:val="26"/>
          <w:szCs w:val="26"/>
        </w:rPr>
        <w:t xml:space="preserve">Block 17: Contract Effort Description</w:t>
      </w:r>
    </w:p>
    <w:p>
      <w:pPr>
        <w:spacing w:after="100" w:before="80"/>
      </w:pPr>
      <w:r>
        <w:rPr>
          <w:rFonts w:ascii="Arial" w:cs="Arial" w:eastAsia="Arial" w:hAnsi="Arial"/>
          <w:sz w:val="22"/>
          <w:szCs w:val="22"/>
        </w:rPr>
        <w:t xml:space="preserve">Apex Systems Engineering, Inc. (Apex) provides Command, Control, Communications, Computers, Intelligence, Surveillance, and Reconnaissance (C4ISR) systems design and development support to the Naval Research Laboratory's Space Systems Development Department (SSDD), NRL Code 8113. This contract is a recompete of predecessor contract N00173-20-C-6002 and continues the SSDD mission of deriving system requirements from operational mission requirements, developing architectures in response to those requirements, and designing, developing, and fielding integrated space and ground systems and associated implementation technologies.
The work encompasses five primary task areas: (1) C4ISR System Architecture Definition, including architecture trade studies, requirements decomposition, and System Architecture Definition Document (SADD) development; (2) RF Sensor Integration, including interface control document review, signal processing analysis, and sensor integration specification development; (3) Ground System Interface Development, including requirements analysis and interface documentation; (4) Prototype Development, including hardware procurement, integration, and functional testing; and (5) System Test Planning and Execution. The contract requires classified system familiarity (personnel security clearances), on-site performance at NRL, and monthly reporting per CDRL A001 (Business Reports) and A002 (Schedules).
The Option Year 1 assessment period covers 01 January 2026 through 31 December 2026, the first option period following the base year (which included a 90-day no-cost extension executed via Modification P00001 due to a Government-caused GFI delay). Option Year 1 represents the transition from design and prototype development into initial system integration and testing activities.</w:t>
      </w:r>
    </w:p>
    <w:p>
      <w:pPr>
        <w:spacing w:after="60" w:before="60"/>
      </w:pPr>
      <w:r>
        <w:t xml:space="preserve"/>
      </w:r>
    </w:p>
    <w:p>
      <w:pPr>
        <w:pStyle w:val="Heading1"/>
        <w:spacing w:after="120" w:before="240"/>
      </w:pPr>
      <w:r>
        <w:rPr>
          <w:rFonts w:ascii="Arial" w:cs="Arial" w:eastAsia="Arial" w:hAnsi="Arial"/>
          <w:b/>
          <w:bCs/>
          <w:color w:val="003366"/>
          <w:sz w:val="26"/>
          <w:szCs w:val="26"/>
        </w:rPr>
        <w:t xml:space="preserve">Block 18 &amp; 20: Performance Ratings and Narrative Assessments</w:t>
      </w:r>
    </w:p>
    <w:p>
      <w:pPr>
        <w:spacing w:after="100" w:before="80"/>
      </w:pPr>
      <w:r>
        <w:rPr>
          <w:rFonts w:ascii="Arial" w:cs="Arial" w:eastAsia="Arial" w:hAnsi="Arial"/>
          <w:sz w:val="22"/>
          <w:szCs w:val="22"/>
        </w:rPr>
        <w:t xml:space="preserve">Ratings are assigned in accordance with DoD CPARS rating definitions. The assessment reflects the integrated evaluation of the Government program team, including NRL Code 8113, Code 8101.1 (COR), and the Contracting Officer.</w:t>
      </w:r>
    </w:p>
    <w:p>
      <w:pPr>
        <w:spacing w:after="60" w:before="60"/>
      </w:pPr>
      <w:r>
        <w:t xml:space="preserve"/>
      </w:r>
    </w:p>
    <w:p>
      <w:pPr>
        <w:pStyle w:val="Heading2"/>
        <w:spacing w:after="80" w:before="160"/>
      </w:pPr>
      <w:r>
        <w:rPr>
          <w:rFonts w:ascii="Arial" w:cs="Arial" w:eastAsia="Arial" w:hAnsi="Arial"/>
          <w:b/>
          <w:bCs/>
          <w:color w:val="1A5C8A"/>
          <w:sz w:val="23"/>
          <w:szCs w:val="23"/>
        </w:rPr>
        <w:t xml:space="preserve">Rating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400"/>
        <w:gridCol w:w="3000"/>
      </w:tblGrid>
      <w:tr>
        <w:tc>
          <w:tcPr>
            <w:tcW w:type="dxa" w:w="396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Assessment Area</w:t>
            </w:r>
          </w:p>
        </w:tc>
        <w:tc>
          <w:tcPr>
            <w:tcW w:type="dxa" w:w="240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Rating</w:t>
            </w:r>
          </w:p>
        </w:tc>
        <w:tc>
          <w:tcPr>
            <w:tcW w:type="dxa" w:w="300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Color</w:t>
            </w:r>
          </w:p>
        </w:tc>
      </w:tr>
      <w:tr>
        <w:tc>
          <w:tcPr>
            <w:tcW w:type="dxa" w:w="39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b w:val="false"/>
                <w:bCs w:val="false"/>
                <w:sz w:val="20"/>
                <w:szCs w:val="20"/>
              </w:rPr>
              <w:t xml:space="preserve">Quality of Product or Service</w:t>
            </w:r>
          </w:p>
        </w:tc>
        <w:tc>
          <w:tcPr>
            <w:tcW w:type="dxa" w:w="2400"/>
            <w:tcBorders>
              <w:top w:val="single" w:color="CCCCCC" w:sz="1"/>
              <w:left w:val="single" w:color="CCCCCC" w:sz="1"/>
              <w:bottom w:val="single" w:color="CCCCCC" w:sz="1"/>
              <w:right w:val="single" w:color="CCCCCC" w:sz="1"/>
            </w:tcBorders>
            <w:shd w:fill="D4B4F0" w:val="clear"/>
            <w:tcMar>
              <w:top w:type="dxa" w:w="80"/>
              <w:left w:type="dxa" w:w="120"/>
              <w:bottom w:type="dxa" w:w="80"/>
              <w:right w:type="dxa" w:w="120"/>
            </w:tcMar>
          </w:tcPr>
          <w:p>
            <w:r>
              <w:rPr>
                <w:rFonts w:ascii="Arial" w:cs="Arial" w:eastAsia="Arial" w:hAnsi="Arial"/>
                <w:b/>
                <w:bCs/>
                <w:sz w:val="20"/>
                <w:szCs w:val="20"/>
              </w:rPr>
              <w:t xml:space="preserve">Very Good</w:t>
            </w:r>
          </w:p>
        </w:tc>
        <w:tc>
          <w:tcPr>
            <w:tcW w:type="dxa" w:w="3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b w:val="false"/>
                <w:bCs w:val="false"/>
                <w:sz w:val="20"/>
                <w:szCs w:val="20"/>
              </w:rPr>
              <w:t xml:space="preserve">Purple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Schedule</w:t>
            </w:r>
          </w:p>
        </w:tc>
        <w:tc>
          <w:tcPr>
            <w:tcW w:type="dxa" w:w="2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0"/>
                <w:szCs w:val="20"/>
              </w:rPr>
              <w:t xml:space="preserve">Satisfactory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Green</w:t>
            </w:r>
          </w:p>
        </w:tc>
      </w:tr>
      <w:tr>
        <w:tc>
          <w:tcPr>
            <w:tcW w:type="dxa" w:w="39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b w:val="false"/>
                <w:bCs w:val="false"/>
                <w:sz w:val="20"/>
                <w:szCs w:val="20"/>
              </w:rPr>
              <w:t xml:space="preserve">Cost Control</w:t>
            </w:r>
          </w:p>
        </w:tc>
        <w:tc>
          <w:tcPr>
            <w:tcW w:type="dxa" w:w="2400"/>
            <w:tcBorders>
              <w:top w:val="single" w:color="CCCCCC" w:sz="1"/>
              <w:left w:val="single" w:color="CCCCCC" w:sz="1"/>
              <w:bottom w:val="single" w:color="CCCCCC" w:sz="1"/>
              <w:right w:val="single" w:color="CCCCCC" w:sz="1"/>
            </w:tcBorders>
            <w:shd w:fill="D4B4F0" w:val="clear"/>
            <w:tcMar>
              <w:top w:type="dxa" w:w="80"/>
              <w:left w:type="dxa" w:w="120"/>
              <w:bottom w:type="dxa" w:w="80"/>
              <w:right w:type="dxa" w:w="120"/>
            </w:tcMar>
          </w:tcPr>
          <w:p>
            <w:r>
              <w:rPr>
                <w:rFonts w:ascii="Arial" w:cs="Arial" w:eastAsia="Arial" w:hAnsi="Arial"/>
                <w:b/>
                <w:bCs/>
                <w:sz w:val="20"/>
                <w:szCs w:val="20"/>
              </w:rPr>
              <w:t xml:space="preserve">Very Good</w:t>
            </w:r>
          </w:p>
        </w:tc>
        <w:tc>
          <w:tcPr>
            <w:tcW w:type="dxa" w:w="3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b w:val="false"/>
                <w:bCs w:val="false"/>
                <w:sz w:val="20"/>
                <w:szCs w:val="20"/>
              </w:rPr>
              <w:t xml:space="preserve">Purple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Business Relations</w:t>
            </w:r>
          </w:p>
        </w:tc>
        <w:tc>
          <w:tcPr>
            <w:tcW w:type="dxa" w:w="2400"/>
            <w:tcBorders>
              <w:top w:val="single" w:color="CCCCCC" w:sz="1"/>
              <w:left w:val="single" w:color="CCCCCC" w:sz="1"/>
              <w:bottom w:val="single" w:color="CCCCCC" w:sz="1"/>
              <w:right w:val="single" w:color="CCCCCC" w:sz="1"/>
            </w:tcBorders>
            <w:shd w:fill="D4B4F0" w:val="clear"/>
            <w:tcMar>
              <w:top w:type="dxa" w:w="80"/>
              <w:left w:type="dxa" w:w="120"/>
              <w:bottom w:type="dxa" w:w="80"/>
              <w:right w:type="dxa" w:w="120"/>
            </w:tcMar>
          </w:tcPr>
          <w:p>
            <w:r>
              <w:rPr>
                <w:rFonts w:ascii="Arial" w:cs="Arial" w:eastAsia="Arial" w:hAnsi="Arial"/>
                <w:b/>
                <w:bCs/>
                <w:sz w:val="20"/>
                <w:szCs w:val="20"/>
              </w:rPr>
              <w:t xml:space="preserve">Very Good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Purple</w:t>
            </w:r>
          </w:p>
        </w:tc>
      </w:tr>
      <w:tr>
        <w:tc>
          <w:tcPr>
            <w:tcW w:type="dxa" w:w="39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b w:val="false"/>
                <w:bCs w:val="false"/>
                <w:sz w:val="20"/>
                <w:szCs w:val="20"/>
              </w:rPr>
              <w:t xml:space="preserve">Management of Key Personnel</w:t>
            </w:r>
          </w:p>
        </w:tc>
        <w:tc>
          <w:tcPr>
            <w:tcW w:type="dxa" w:w="2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0"/>
                <w:szCs w:val="20"/>
              </w:rPr>
              <w:t xml:space="preserve">Satisfactory</w:t>
            </w:r>
          </w:p>
        </w:tc>
        <w:tc>
          <w:tcPr>
            <w:tcW w:type="dxa" w:w="3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b w:val="false"/>
                <w:bCs w:val="false"/>
                <w:sz w:val="20"/>
                <w:szCs w:val="20"/>
              </w:rPr>
              <w:t xml:space="preserve">Green</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Subcontract Management</w:t>
            </w:r>
          </w:p>
        </w:tc>
        <w:tc>
          <w:tcPr>
            <w:tcW w:type="dxa" w:w="2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0"/>
                <w:szCs w:val="20"/>
              </w:rPr>
              <w:t xml:space="preserve">Satisfactory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Green</w:t>
            </w:r>
          </w:p>
        </w:tc>
      </w:tr>
      <w:tr>
        <w:tc>
          <w:tcPr>
            <w:tcW w:type="dxa" w:w="39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b w:val="false"/>
                <w:bCs w:val="false"/>
                <w:sz w:val="20"/>
                <w:szCs w:val="20"/>
              </w:rPr>
              <w:t xml:space="preserve">Overall Recommendation</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Probably Would Award Again</w:t>
            </w:r>
          </w:p>
        </w:tc>
      </w:tr>
    </w:tbl>
    <w:p>
      <w:pPr>
        <w:spacing w:after="60" w:before="60"/>
      </w:pPr>
      <w:r>
        <w:t xml:space="preserve"/>
      </w:r>
    </w:p>
    <w:p>
      <w:pPr>
        <w:pStyle w:val="Heading2"/>
        <w:spacing w:after="80" w:before="160"/>
      </w:pPr>
      <w:r>
        <w:rPr>
          <w:rFonts w:ascii="Arial" w:cs="Arial" w:eastAsia="Arial" w:hAnsi="Arial"/>
          <w:b/>
          <w:bCs/>
          <w:color w:val="1A5C8A"/>
          <w:sz w:val="23"/>
          <w:szCs w:val="23"/>
        </w:rPr>
        <w:t xml:space="preserve">Quality of Product or Service — Very Good (Purple)</w:t>
      </w:r>
    </w:p>
    <w:p>
      <w:pPr>
        <w:spacing w:after="100" w:before="80"/>
      </w:pPr>
      <w:r>
        <w:rPr>
          <w:rFonts w:ascii="Arial" w:cs="Arial" w:eastAsia="Arial" w:hAnsi="Arial"/>
          <w:sz w:val="22"/>
          <w:szCs w:val="22"/>
        </w:rPr>
        <w:t xml:space="preserve">Apex Systems Engineering consistently delivered high-quality technical products throughout Option Year 1. The System Architecture Definition Document (SADD), which underwent COR review and revision during the base year, was finalized and received full Government acceptance in OY1 Q1. The document demonstrated a thorough understanding of SSDD mission requirements, provided a well-structured and technically sound architecture definition for the selected Option B (distributed processing with edge compute nodes), and incorporated Government review comments completely and accurately. The COR noted that the SADD required no further revision following the second submission — a result consistent with a contractor that understood requirements and engaged constructively with Government feedback.</w:t>
      </w:r>
    </w:p>
    <w:p>
      <w:pPr>
        <w:spacing w:after="100" w:before="80"/>
      </w:pPr>
      <w:r>
        <w:rPr>
          <w:rFonts w:ascii="Arial" w:cs="Arial" w:eastAsia="Arial" w:hAnsi="Arial"/>
          <w:sz w:val="22"/>
          <w:szCs w:val="22"/>
        </w:rPr>
        <w:t xml:space="preserve">Technical deliverables across all task areas during OY1 met or exceeded contractual requirements. The Sensor Integration Specification, Ground System Interface Requirements Document, and System Test Plan were each accepted on first or second submission with minor comment. Prototype development progressed from Phase 1 assembly (completed in base year) through Phase 2 integration during OY1, achieving successful end-to-end functional checkout in OY1 Q3. The Government test team observed no instances of significant rework resulting from contractor deficiencies; one retest was required during system-level testing due to a test environment configuration error, which the contractor identified, documented, and corrected within 72 hours.</w:t>
      </w:r>
    </w:p>
    <w:p>
      <w:pPr>
        <w:spacing w:after="100" w:before="80"/>
      </w:pPr>
      <w:r>
        <w:rPr>
          <w:rFonts w:ascii="Arial" w:cs="Arial" w:eastAsia="Arial" w:hAnsi="Arial"/>
          <w:sz w:val="22"/>
          <w:szCs w:val="22"/>
        </w:rPr>
        <w:t xml:space="preserve">A notable strength was the technical quality of Apex's engineering analysis work. The architecture trade study, signal processing analysis, and technology readiness assessments were consistently detailed, traceable to contract requirements, and presented in formats that facilitated Government review. The Government did not identify any instances of deficient technical content requiring corrective action during this evaluation period.</w:t>
      </w:r>
    </w:p>
    <w:p>
      <w:pPr>
        <w:spacing w:after="60" w:before="60"/>
      </w:pPr>
      <w:r>
        <w:t xml:space="preserve"/>
      </w:r>
    </w:p>
    <w:p>
      <w:pPr>
        <w:pStyle w:val="Heading2"/>
        <w:spacing w:after="80" w:before="160"/>
      </w:pPr>
      <w:r>
        <w:rPr>
          <w:rFonts w:ascii="Arial" w:cs="Arial" w:eastAsia="Arial" w:hAnsi="Arial"/>
          <w:b/>
          <w:bCs/>
          <w:color w:val="1A5C8A"/>
          <w:sz w:val="23"/>
          <w:szCs w:val="23"/>
        </w:rPr>
        <w:t xml:space="preserve">Schedule — Satisfactory (Green)</w:t>
      </w:r>
    </w:p>
    <w:p>
      <w:pPr>
        <w:spacing w:after="100" w:before="80"/>
      </w:pPr>
      <w:r>
        <w:rPr>
          <w:rFonts w:ascii="Arial" w:cs="Arial" w:eastAsia="Arial" w:hAnsi="Arial"/>
          <w:sz w:val="22"/>
          <w:szCs w:val="22"/>
        </w:rPr>
        <w:t xml:space="preserve">Schedule performance during Option Year 1 was satisfactory. The 90-day Period of Performance extension executed at the close of the base year (Modification P00001, effective 08 September 2025) was directly attributable to a Government-caused delay in furnishing GFI Item 3 (SSDD Mission Thread Data Package), which was received 72 days after the contractually assumed delivery date. The contractor's response to this Government-caused constraint was appropriate: it formally notified the COR within 10 days of the missed GFI delivery date, submitted a Schedule Impact Assessment within 6 weeks, and continued all GFI-independent work without interruption. The contractor did not contribute to the base year schedule slip and is not assessed negatively for the PoP extension.</w:t>
      </w:r>
    </w:p>
    <w:p>
      <w:pPr>
        <w:spacing w:after="100" w:before="80"/>
      </w:pPr>
      <w:r>
        <w:rPr>
          <w:rFonts w:ascii="Arial" w:cs="Arial" w:eastAsia="Arial" w:hAnsi="Arial"/>
          <w:sz w:val="22"/>
          <w:szCs w:val="22"/>
        </w:rPr>
        <w:t xml:space="preserve">Within Option Year 1 itself, all contractual milestones were met within the adjusted schedule. Two milestone dates required minor internal re-planning (Prototype Phase 2 Integration, originally planned for OY1 Month 4, completed in OY1 Month 5; End-to-End System Test initiation, planned for OY1 Month 6, initiated in OY1 Month 7). Both adjustments were coordinated with the COR in advance, documented in the monthly status reports, and caused no downstream impact on deliverable due dates. The contractor maintained an up-to-date IMS and submitted all CDRL A002 (Schedule) deliverables on time each month.</w:t>
      </w:r>
    </w:p>
    <w:p>
      <w:pPr>
        <w:spacing w:after="100" w:before="80"/>
      </w:pPr>
      <w:r>
        <w:rPr>
          <w:rFonts w:ascii="Arial" w:cs="Arial" w:eastAsia="Arial" w:hAnsi="Arial"/>
          <w:sz w:val="22"/>
          <w:szCs w:val="22"/>
        </w:rPr>
        <w:t xml:space="preserve">The Satisfactory rating reflects a performance record that meets contractual requirements. The base year staffing gap (Lead Systems Engineer departure in Month 5) resulted in a 3-week internal schedule slip that was recovered within two months — within the Satisfactory threshold. The contractor's proactive communication about schedule risks throughout both the base year and OY1 was a positive factor. No Government-caused delays occurred during OY1, and the contractor delivered all OY1 CDRLs on or before their contractually required dates.</w:t>
      </w:r>
    </w:p>
    <w:p>
      <w:pPr>
        <w:spacing w:after="60" w:before="60"/>
      </w:pPr>
      <w:r>
        <w:t xml:space="preserve"/>
      </w:r>
    </w:p>
    <w:p>
      <w:pPr>
        <w:pStyle w:val="Heading2"/>
        <w:spacing w:after="80" w:before="160"/>
      </w:pPr>
      <w:r>
        <w:rPr>
          <w:rFonts w:ascii="Arial" w:cs="Arial" w:eastAsia="Arial" w:hAnsi="Arial"/>
          <w:b/>
          <w:bCs/>
          <w:color w:val="1A5C8A"/>
          <w:sz w:val="23"/>
          <w:szCs w:val="23"/>
        </w:rPr>
        <w:t xml:space="preserve">Cost Control — Very Good (Purple)</w:t>
      </w:r>
    </w:p>
    <w:p>
      <w:pPr>
        <w:spacing w:after="100" w:before="80"/>
      </w:pPr>
      <w:r>
        <w:rPr>
          <w:rFonts w:ascii="Arial" w:cs="Arial" w:eastAsia="Arial" w:hAnsi="Arial"/>
          <w:sz w:val="22"/>
          <w:szCs w:val="22"/>
        </w:rPr>
        <w:t xml:space="preserve">Apex Systems Engineering's cost performance throughout the base year and Option Year 1 has been notably strong. At the close of the base year (including the 90-day extension period), cumulative costs totaled $5,478,220 against a funded ceiling of $8,450,000, representing 64.8% of the funded amount at approximately 13 months of billable technical work. This favorable cost posture was achieved without any reduction in technical scope or deliverable quality.</w:t>
      </w:r>
    </w:p>
    <w:p>
      <w:pPr>
        <w:spacing w:after="100" w:before="80"/>
      </w:pPr>
      <w:r>
        <w:rPr>
          <w:rFonts w:ascii="Arial" w:cs="Arial" w:eastAsia="Arial" w:hAnsi="Arial"/>
          <w:sz w:val="22"/>
          <w:szCs w:val="22"/>
        </w:rPr>
        <w:t xml:space="preserve">During Option Year 1, the contractor maintained costs within budget at each monthly reporting point. The contractor's monthly status reports consistently included an estimated cost to complete that was within the remaining funded amount. No requests for additional funding, equitable adjustments, or undefinitized contract actions related to cost were submitted during OY1. The contractor identified and documented the cost impact of the GFI delay clearly in its Schedule Impact Assessment, but did not seek reimbursement for unproductive time — consistent with the no-cost nature of the PoP extension.</w:t>
      </w:r>
    </w:p>
    <w:p>
      <w:pPr>
        <w:spacing w:after="100" w:before="80"/>
      </w:pPr>
      <w:r>
        <w:rPr>
          <w:rFonts w:ascii="Arial" w:cs="Arial" w:eastAsia="Arial" w:hAnsi="Arial"/>
          <w:sz w:val="22"/>
          <w:szCs w:val="22"/>
        </w:rPr>
        <w:t xml:space="preserve">The Government notes that the contractor's cost transparency has been exemplary. The ACRN proration breakdowns required by CDRL A001 were provided accurately and consistently in each monthly report. When the contractor identified a potential cost risk in OY1 Q2 (related to increased integration complexity discovered during prototype testing), it notified the COR proactively 6 weeks before the risk would have materialized, allowing the Government to assess options. The risk ultimately did not result in any cost increase. This proactive posture in cost management is a significant Government benefit that supports the Very Good rating.</w:t>
      </w:r>
    </w:p>
    <w:p>
      <w:pPr>
        <w:spacing w:after="60" w:before="60"/>
      </w:pPr>
      <w:r>
        <w:t xml:space="preserve"/>
      </w:r>
    </w:p>
    <w:p>
      <w:pPr>
        <w:pStyle w:val="Heading2"/>
        <w:spacing w:after="80" w:before="160"/>
      </w:pPr>
      <w:r>
        <w:rPr>
          <w:rFonts w:ascii="Arial" w:cs="Arial" w:eastAsia="Arial" w:hAnsi="Arial"/>
          <w:b/>
          <w:bCs/>
          <w:color w:val="1A5C8A"/>
          <w:sz w:val="23"/>
          <w:szCs w:val="23"/>
        </w:rPr>
        <w:t xml:space="preserve">Business Relations — Very Good (Purple)</w:t>
      </w:r>
    </w:p>
    <w:p>
      <w:pPr>
        <w:spacing w:after="100" w:before="80"/>
      </w:pPr>
      <w:r>
        <w:rPr>
          <w:rFonts w:ascii="Arial" w:cs="Arial" w:eastAsia="Arial" w:hAnsi="Arial"/>
          <w:sz w:val="22"/>
          <w:szCs w:val="22"/>
        </w:rPr>
        <w:t xml:space="preserve">The contractor's business relations throughout Option Year 1 were excellent. Apex Systems Engineering maintained open and professional communications with NRL Code 8113, NRL Code 8101.1, and the Contracting Officer at all times. All 12 monthly status reports during the base year and all OY1 monthly reports were submitted on time and met the content requirements of CDRL A001. The contractor was responsive to Government inquiries, typically responding to COR requests within one business day and to CO correspondence within three business days.</w:t>
      </w:r>
    </w:p>
    <w:p>
      <w:pPr>
        <w:spacing w:after="100" w:before="80"/>
      </w:pPr>
      <w:r>
        <w:rPr>
          <w:rFonts w:ascii="Arial" w:cs="Arial" w:eastAsia="Arial" w:hAnsi="Arial"/>
          <w:sz w:val="22"/>
          <w:szCs w:val="22"/>
        </w:rPr>
        <w:t xml:space="preserve">Apex institutionalized a semi-monthly coordination meeting with the COR and program technical staff beginning in OY1 Q1, supplementing the required monthly status reports with a structured opportunity for informal issue resolution. This initiative, proposed by the contractor, resulted in faster identification and resolution of minor technical issues and reduced the volume of formal correspondence required. In 12 coordination meetings held during OY1, the contractor documented 7 action items to Government resolution and closed all 7 within the agreed timeframes.</w:t>
      </w:r>
    </w:p>
    <w:p>
      <w:pPr>
        <w:spacing w:after="100" w:before="80"/>
      </w:pPr>
      <w:r>
        <w:rPr>
          <w:rFonts w:ascii="Arial" w:cs="Arial" w:eastAsia="Arial" w:hAnsi="Arial"/>
          <w:sz w:val="22"/>
          <w:szCs w:val="22"/>
        </w:rPr>
        <w:t xml:space="preserve">The contractor's proposal submittals (OY2 option exercise documentation, subcontractor consent requests) were complete, accurate, and submitted on time. The contractor met its small business subcontracting goals for OY1; Meridian Technical Solutions, LLC (a Service-Disabled Veteran-Owned Small Business) performed approximately 26% of the labor effort, exceeding the 20% small business subcontracting goal documented in the contract's Small Business Participation Commitment Document. The contractor submitted its subcontracting reports on schedule and accurately documented Meridian's actual performance.</w:t>
      </w:r>
    </w:p>
    <w:p>
      <w:pPr>
        <w:spacing w:after="60" w:before="60"/>
      </w:pPr>
      <w:r>
        <w:t xml:space="preserve"/>
      </w:r>
    </w:p>
    <w:p>
      <w:pPr>
        <w:pStyle w:val="Heading2"/>
        <w:spacing w:after="80" w:before="160"/>
      </w:pPr>
      <w:r>
        <w:rPr>
          <w:rFonts w:ascii="Arial" w:cs="Arial" w:eastAsia="Arial" w:hAnsi="Arial"/>
          <w:b/>
          <w:bCs/>
          <w:color w:val="1A5C8A"/>
          <w:sz w:val="23"/>
          <w:szCs w:val="23"/>
        </w:rPr>
        <w:t xml:space="preserve">Management of Key Personnel — Satisfactory (Green)</w:t>
      </w:r>
    </w:p>
    <w:p>
      <w:pPr>
        <w:spacing w:after="100" w:before="80"/>
      </w:pPr>
      <w:r>
        <w:rPr>
          <w:rFonts w:ascii="Arial" w:cs="Arial" w:eastAsia="Arial" w:hAnsi="Arial"/>
          <w:sz w:val="22"/>
          <w:szCs w:val="22"/>
        </w:rPr>
        <w:t xml:space="preserve">Key personnel management during the base year and OY1 was satisfactory overall, with one notable event requiring assessment. The departure of the Lead Systems Engineer (Task Area 1) in Month 5 of the base year was an unplanned loss of a key personnel position. The contractor notified the COR within the reporting period (monthly status report), submitted a written recovery plan within 10 days, and filled the position with a qualified senior engineer (Mr. James Tanner) within 11 weeks. Mr. Tanner's existing NRL facility access significantly reduced the ramp-up period, and the resulting schedule impact (3 weeks internal slip) was recovered within 2 months. No Government-required deliverables were missed as a result.</w:t>
      </w:r>
    </w:p>
    <w:p>
      <w:pPr>
        <w:spacing w:after="100" w:before="80"/>
      </w:pPr>
      <w:r>
        <w:rPr>
          <w:rFonts w:ascii="Arial" w:cs="Arial" w:eastAsia="Arial" w:hAnsi="Arial"/>
          <w:sz w:val="22"/>
          <w:szCs w:val="22"/>
        </w:rPr>
        <w:t xml:space="preserve">By OY1, the contractor's staffing posture had stabilized. All key personnel positions were continuously filled during OY1, and no unplanned departures occurred. The contractor maintained the staffing levels required by the contract throughout OY1 and demonstrated improved proactive workforce management, including a retention initiative that included targeted salary adjustments for two at-risk technical staff members notified to the COR informally in OY1 Q2. No additional departures resulted.</w:t>
      </w:r>
    </w:p>
    <w:p>
      <w:pPr>
        <w:spacing w:after="100" w:before="80"/>
      </w:pPr>
      <w:r>
        <w:rPr>
          <w:rFonts w:ascii="Arial" w:cs="Arial" w:eastAsia="Arial" w:hAnsi="Arial"/>
          <w:sz w:val="22"/>
          <w:szCs w:val="22"/>
        </w:rPr>
        <w:t xml:space="preserve">The Satisfactory rating acknowledges that while the base year staffing event was handled appropriately and resolved, a key personnel departure of this nature did create a measurable (if recovered) schedule risk. The contractor's OY1 management improvements position them well for continued Satisfactory or better ratings going forward.</w:t>
      </w:r>
    </w:p>
    <w:p>
      <w:pPr>
        <w:spacing w:after="60" w:before="60"/>
      </w:pPr>
      <w:r>
        <w:t xml:space="preserve"/>
      </w:r>
    </w:p>
    <w:p>
      <w:pPr>
        <w:pStyle w:val="Heading2"/>
        <w:spacing w:after="80" w:before="160"/>
      </w:pPr>
      <w:r>
        <w:rPr>
          <w:rFonts w:ascii="Arial" w:cs="Arial" w:eastAsia="Arial" w:hAnsi="Arial"/>
          <w:b/>
          <w:bCs/>
          <w:color w:val="1A5C8A"/>
          <w:sz w:val="23"/>
          <w:szCs w:val="23"/>
        </w:rPr>
        <w:t xml:space="preserve">Subcontract Management — Satisfactory (Green)</w:t>
      </w:r>
    </w:p>
    <w:p>
      <w:pPr>
        <w:spacing w:after="100" w:before="80"/>
      </w:pPr>
      <w:r>
        <w:rPr>
          <w:rFonts w:ascii="Arial" w:cs="Arial" w:eastAsia="Arial" w:hAnsi="Arial"/>
          <w:sz w:val="22"/>
          <w:szCs w:val="22"/>
        </w:rPr>
        <w:t xml:space="preserve">Apex Systems Engineering's management of its primary subcontractor, Meridian Technical Solutions, LLC, was satisfactory during both the base year and OY1. Meridian's engagement was expanded in the base year after the Lead Systems Engineer departure (architecture documentation support), and this engagement continued and grew in scope during OY1 (integration documentation support). The contractor obtained required Government consent for subcontracting modifications in accordance with FAR 52.244-2 and submitted all required consent request documentation with adequate lead time.</w:t>
      </w:r>
    </w:p>
    <w:p>
      <w:pPr>
        <w:spacing w:after="100" w:before="80"/>
      </w:pPr>
      <w:r>
        <w:rPr>
          <w:rFonts w:ascii="Arial" w:cs="Arial" w:eastAsia="Arial" w:hAnsi="Arial"/>
          <w:sz w:val="22"/>
          <w:szCs w:val="22"/>
        </w:rPr>
        <w:t xml:space="preserve">The quality of Meridian's contributions, as observable to the Government through the prime contractor's deliverables, was consistent with contractual requirements. No performance issues with the subcontractor were reported to or identified by the Government during OY1. The contractor's subcontracting reports accurately reflected Meridian's actual labor effort and costs.</w:t>
      </w:r>
    </w:p>
    <w:p>
      <w:pPr>
        <w:spacing w:after="60" w:before="60"/>
      </w:pPr>
      <w:r>
        <w:t xml:space="preserve"/>
      </w:r>
    </w:p>
    <w:p>
      <w:pPr>
        <w:pStyle w:val="Heading1"/>
        <w:spacing w:after="120" w:before="240"/>
      </w:pPr>
      <w:r>
        <w:rPr>
          <w:rFonts w:ascii="Arial" w:cs="Arial" w:eastAsia="Arial" w:hAnsi="Arial"/>
          <w:b/>
          <w:bCs/>
          <w:color w:val="003366"/>
          <w:sz w:val="26"/>
          <w:szCs w:val="26"/>
        </w:rPr>
        <w:t xml:space="preserve">Overall Recommendation</w:t>
      </w:r>
    </w:p>
    <w:p>
      <w:pPr>
        <w:spacing w:after="100" w:before="80"/>
      </w:pPr>
      <w:r>
        <w:rPr>
          <w:rFonts w:ascii="Arial" w:cs="Arial" w:eastAsia="Arial" w:hAnsi="Arial"/>
          <w:sz w:val="22"/>
          <w:szCs w:val="22"/>
        </w:rPr>
        <w:t xml:space="preserve">The Government would probably award a follow-on contract to Apex Systems Engineering, Inc. The contractor has demonstrated strong technical capability, sound cost management, and professional business relations throughout the base year and OY1. The single rating of Satisfactory (Schedule) reflects a base year staffing event and Government-caused GFI delay that were both handled appropriately and resolved without lasting impact on contract performance. The contractor's performance trajectory during OY1 — with stabilized staffing, improved coordination practices, and all deliverables on schedule — is consistent with a contractor capable of performing the remaining option years successfully.</w:t>
      </w:r>
    </w:p>
    <w:p>
      <w:pPr>
        <w:spacing w:after="60" w:before="60"/>
      </w:pPr>
      <w:r>
        <w:t xml:space="preserve"/>
      </w:r>
    </w:p>
    <w:p>
      <w:pPr>
        <w:pBdr>
          <w:bottom w:val="single" w:color="003366" w:sz="6" w:space="1"/>
        </w:pBdr>
        <w:spacing w:after="60" w:before="240"/>
      </w:pPr>
      <w:r>
        <w:t xml:space="preserve"/>
      </w:r>
    </w:p>
    <w:p>
      <w:pPr>
        <w:jc w:val="center"/>
      </w:pPr>
      <w:r>
        <w:rPr>
          <w:rFonts w:ascii="Arial" w:cs="Arial" w:eastAsia="Arial" w:hAnsi="Arial"/>
          <w:color w:val="666666"/>
          <w:sz w:val="18"/>
          <w:szCs w:val="18"/>
        </w:rPr>
        <w:t xml:space="preserve">N00173-25-C-XXXX | Apex Systems Engineering, Inc. | CPAR — Option Year 1 | Assessment Period: 01 January 2026 – 31 December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3366"/>
      <w:sz w:val="26"/>
      <w:szCs w:val="26"/>
    </w:rPr>
  </w:style>
  <w:style w:type="paragraph" w:styleId="Heading2">
    <w:name w:val="Heading 2"/>
    <w:basedOn w:val="Normal"/>
    <w:next w:val="Normal"/>
    <w:qFormat/>
    <w:pPr>
      <w:spacing w:after="80" w:before="160"/>
      <w:outlineLvl w:val="1"/>
    </w:pPr>
    <w:rPr>
      <w:rFonts w:ascii="Arial" w:cs="Arial" w:eastAsia="Arial" w:hAnsi="Arial"/>
      <w:b/>
      <w:bCs/>
      <w:color w:val="1A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2026-04-26T16:14:39.461Z</dcterms:created>
  <dcterms:modified xsi:type="dcterms:W3CDTF">2026-04-26T16:14:39.462Z</dcterms:modified>
</cp:coreProperties>
</file>

<file path=docProps/custom.xml><?xml version="1.0" encoding="utf-8"?>
<Properties xmlns="http://schemas.openxmlformats.org/officeDocument/2006/custom-properties" xmlns:vt="http://schemas.openxmlformats.org/officeDocument/2006/docPropsVTypes"/>
</file>