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C3557"/>
          <w:sz w:val="30"/>
          <w:szCs w:val="30"/>
        </w:rPr>
        <w:t xml:space="preserve">GOVERNMENT PERFORMANCE NARRATIVE REPORT (PNR)</w:t>
      </w:r>
    </w:p>
    <w:p>
      <w:pPr>
        <w:spacing w:after="60" w:before="0"/>
        <w:jc w:val="center"/>
      </w:pPr>
      <w:r>
        <w:rPr>
          <w:rFonts w:ascii="Arial" w:cs="Arial" w:eastAsia="Arial" w:hAnsi="Arial"/>
          <w:color w:val="2B5F8C"/>
          <w:sz w:val="24"/>
          <w:szCs w:val="24"/>
        </w:rPr>
        <w:t xml:space="preserve">Report 2 of 3 — Post-CAR / CDR Assessment</w:t>
      </w:r>
    </w:p>
    <w:p>
      <w:pPr>
        <w:spacing w:after="240" w:before="0"/>
        <w:jc w:val="center"/>
      </w:pPr>
      <w:r>
        <w:rPr>
          <w:rFonts w:ascii="Arial" w:cs="Arial" w:eastAsia="Arial" w:hAnsi="Arial"/>
          <w:color w:val="555555"/>
          <w:sz w:val="21"/>
          <w:szCs w:val="21"/>
        </w:rPr>
        <w:t xml:space="preserve">DO-0003 | JLTV HED Powertrain Prototype | NSWC Crane MXPQ</w:t>
      </w:r>
    </w:p>
    <w:p>
      <w:pPr>
        <w:pStyle w:val="Heading1"/>
        <w:pBdr>
          <w:bottom w:val="single" w:color="1C3557" w:sz="3" w:space="1"/>
        </w:pBdr>
        <w:spacing w:after="120" w:before="280"/>
      </w:pPr>
      <w:r>
        <w:rPr>
          <w:rFonts w:ascii="Arial" w:cs="Arial" w:eastAsia="Arial" w:hAnsi="Arial"/>
          <w:b/>
          <w:bCs/>
          <w:color w:val="1C3557"/>
          <w:sz w:val="26"/>
          <w:szCs w:val="26"/>
        </w:rPr>
        <w:t xml:space="preserve">Header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Delivery Order</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N00164-25-F-0003 (DO-0003)</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Assessment Period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February 2025 – 08 July 2025</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Report Date</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29 July 2025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Nicole Jacobs, Government PM/COR, NSWC Crane MXPQ</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Ashley Bechtel (CO); MXPQ Program File; CPARS System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Trigger Event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CDR Completion (08 July 2025) and CAR Response Assessment</w:t>
            </w:r>
          </w:p>
        </w:tc>
      </w:tr>
    </w:tbl>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1. Purpose and Context</w:t>
      </w:r>
    </w:p>
    <w:p>
      <w:pPr>
        <w:spacing w:after="100" w:before="80"/>
      </w:pPr>
      <w:r>
        <w:rPr>
          <w:rFonts w:ascii="Arial" w:cs="Arial" w:eastAsia="Arial" w:hAnsi="Arial"/>
          <w:sz w:val="22"/>
          <w:szCs w:val="22"/>
        </w:rPr>
        <w:t xml:space="preserve">This is the second Performance Narrative Report for DO-0003, prepared following completion of the Critical Design Review on 08 July 2025 and the Government's assessment of Meridian's response to the Corrective Action Request issued 27 June 2025. It covers the period from PDR completion through CDR completion and provides an updated program performance assessment.</w:t>
      </w:r>
    </w:p>
    <w:p>
      <w:pPr>
        <w:pStyle w:val="Heading1"/>
        <w:pBdr>
          <w:bottom w:val="single" w:color="1C3557" w:sz="3" w:space="1"/>
        </w:pBdr>
        <w:spacing w:after="120" w:before="280"/>
      </w:pPr>
      <w:r>
        <w:rPr>
          <w:rFonts w:ascii="Arial" w:cs="Arial" w:eastAsia="Arial" w:hAnsi="Arial"/>
          <w:b/>
          <w:bCs/>
          <w:color w:val="1C3557"/>
          <w:sz w:val="26"/>
          <w:szCs w:val="26"/>
        </w:rPr>
        <w:t xml:space="preserve">2. Summary Assessment</w:t>
      </w:r>
    </w:p>
    <w:p>
      <w:pPr>
        <w:spacing w:after="100" w:before="80"/>
      </w:pPr>
      <w:r>
        <w:rPr>
          <w:rFonts w:ascii="Arial" w:cs="Arial" w:eastAsia="Arial" w:hAnsi="Arial"/>
          <w:sz w:val="22"/>
          <w:szCs w:val="22"/>
        </w:rPr>
        <w:t xml:space="preserve">Performance continues to be below standard. The CDR was conducted 63 calendar days after the original planned date, following two contractor-requested postponements. The Government issued a Corrective Action Request on 27 June 2025 in response to the accumulated schedule delays and PDR action item resolution timeline. Meridian's initial CAR response was assessed as inadequate and required revision. The revised recovery plan was accepted but has not been fully realized in program execution to date.</w:t>
      </w:r>
    </w:p>
    <w:p>
      <w:pPr>
        <w:spacing w:after="60" w:before="60"/>
      </w:pPr>
      <w:r>
        <w:t xml:space="preserve"/>
      </w:r>
    </w:p>
    <w:p>
      <w:pPr>
        <w:spacing w:after="100" w:before="80"/>
      </w:pPr>
      <w:r>
        <w:rPr>
          <w:rFonts w:ascii="Arial" w:cs="Arial" w:eastAsia="Arial" w:hAnsi="Arial"/>
          <w:sz w:val="22"/>
          <w:szCs w:val="22"/>
        </w:rPr>
        <w:t xml:space="preserve">The Government conditionally accepted the CDR on 29 July 2025 with 14 open action items, two of which — thermal rejection compliance and torque margin at elevated temperature — were not resolved at CDR and will be carried into acceptance testing. These are the same two technical areas that generated the most significant PDR action items.</w:t>
      </w:r>
    </w:p>
    <w:p>
      <w:pPr>
        <w:spacing w:after="60" w:before="60"/>
      </w:pPr>
      <w:r>
        <w:t xml:space="preserve"/>
      </w:r>
    </w:p>
    <w:p>
      <w:pPr>
        <w:spacing w:after="100" w:before="80"/>
      </w:pPr>
      <w:r>
        <w:rPr>
          <w:rFonts w:ascii="Arial" w:cs="Arial" w:eastAsia="Arial" w:hAnsi="Arial"/>
          <w:sz w:val="22"/>
          <w:szCs w:val="22"/>
        </w:rPr>
        <w:t xml:space="preserve">The contractor's technical team demonstrates genuine technical capability, and the CDR package, while late, represented a substantive improvement over the PDR in scope and analysis depth. The concerns in this report relate primarily to program management, schedule discipline, and communication patterns.</w:t>
      </w:r>
    </w:p>
    <w:p>
      <w:pPr>
        <w:pStyle w:val="Heading1"/>
        <w:pBdr>
          <w:bottom w:val="single" w:color="1C3557" w:sz="3" w:space="1"/>
        </w:pBdr>
        <w:spacing w:after="120" w:before="280"/>
      </w:pPr>
      <w:r>
        <w:rPr>
          <w:rFonts w:ascii="Arial" w:cs="Arial" w:eastAsia="Arial" w:hAnsi="Arial"/>
          <w:b/>
          <w:bCs/>
          <w:color w:val="1C3557"/>
          <w:sz w:val="26"/>
          <w:szCs w:val="26"/>
        </w:rPr>
        <w:t xml:space="preserve">3. Corrective Action Request Assessment</w:t>
      </w:r>
    </w:p>
    <w:p>
      <w:pPr>
        <w:spacing w:after="100" w:before="80"/>
      </w:pPr>
      <w:r>
        <w:rPr>
          <w:rFonts w:ascii="Arial" w:cs="Arial" w:eastAsia="Arial" w:hAnsi="Arial"/>
          <w:sz w:val="22"/>
          <w:szCs w:val="22"/>
        </w:rPr>
        <w:t xml:space="preserve">The CAR was issued 27 June 2025 citing: (1) PDR submission 47 days late, (2) PDR action item responses submitted 24 days late, (3) CDR package submitted 48 days after planned date, and (4) CDR conduct date slipped twice. Meridian's initial CAR response (submitted 25 July 2025, one day before the due date) contained a recovery plan that identified schedule actions but did not substantively address the root causes of the delays, did not identify specific process changes, and did not include updated milestone dates with float analysis. The Government returned the response as insufficient on 01 August 2025.</w:t>
      </w:r>
    </w:p>
    <w:p>
      <w:pPr>
        <w:spacing w:after="60" w:before="60"/>
      </w:pPr>
      <w:r>
        <w:t xml:space="preserve"/>
      </w:r>
    </w:p>
    <w:p>
      <w:pPr>
        <w:spacing w:after="100" w:before="80"/>
      </w:pPr>
      <w:r>
        <w:rPr>
          <w:rFonts w:ascii="Arial" w:cs="Arial" w:eastAsia="Arial" w:hAnsi="Arial"/>
          <w:sz w:val="22"/>
          <w:szCs w:val="22"/>
        </w:rPr>
        <w:t xml:space="preserve">A revised response was submitted 13 August 2025 and was accepted on 14 August 2025. The revised response included an updated IMS and identified three root causes: (1) optimistic PDR preparation timeline at proposal stage, (2) motor controls staffing gap, and (3) underestimation of Government PDR action item response effort. The Government accepts this root cause analysis as reasonable. Commitments in the revised recovery plan include delivery of a monthly schedule status email to the COR (not previously done), a 2-week schedule buffer before each CDRL submission, and a replacement hire for the Mechanical Design Lead by 01 September 2025.</w:t>
      </w:r>
    </w:p>
    <w:p>
      <w:pPr>
        <w:spacing w:after="60" w:before="60"/>
      </w:pPr>
      <w:r>
        <w:t xml:space="preserve"/>
      </w:r>
    </w:p>
    <w:p>
      <w:pPr>
        <w:spacing w:after="100" w:before="80"/>
      </w:pPr>
      <w:r>
        <w:rPr>
          <w:rFonts w:ascii="Arial" w:cs="Arial" w:eastAsia="Arial" w:hAnsi="Arial"/>
          <w:sz w:val="22"/>
          <w:szCs w:val="22"/>
        </w:rPr>
        <w:t xml:space="preserve">As of 29 July 2025: the monthly schedule status emails have not yet been established (first would be due for July), and the Mechanical Design Lead replacement hire commitment date of 01 September 2025 is three weeks away. The Government will assess compliance at Q4.</w:t>
      </w:r>
    </w:p>
    <w:p>
      <w:pPr>
        <w:pStyle w:val="Heading1"/>
        <w:pBdr>
          <w:bottom w:val="single" w:color="1C3557" w:sz="3" w:space="1"/>
        </w:pBdr>
        <w:spacing w:after="120" w:before="280"/>
      </w:pPr>
      <w:r>
        <w:rPr>
          <w:rFonts w:ascii="Arial" w:cs="Arial" w:eastAsia="Arial" w:hAnsi="Arial"/>
          <w:b/>
          <w:bCs/>
          <w:color w:val="1C3557"/>
          <w:sz w:val="26"/>
          <w:szCs w:val="26"/>
        </w:rPr>
        <w:t xml:space="preserve">4. CDR Technical Assessment</w:t>
      </w:r>
    </w:p>
    <w:p>
      <w:pPr>
        <w:spacing w:after="100" w:before="80"/>
      </w:pPr>
      <w:r>
        <w:rPr>
          <w:rFonts w:ascii="Arial" w:cs="Arial" w:eastAsia="Arial" w:hAnsi="Arial"/>
          <w:sz w:val="22"/>
          <w:szCs w:val="22"/>
        </w:rPr>
        <w:t xml:space="preserve">The CDR package demonstrated meaningful improvement over the PDR in analytical depth. The thermal management analysis was substantially revised and now addresses the maximum ambient temperature boundary condition. While the Government's thermal analysis reviewers assessed the revised analysis as technically sound, the margin to MIL-STD-810 thermal limits at the maximum condition is narrow (less than 5 degrees C). This margin will be verified in acceptance testing.</w:t>
      </w:r>
    </w:p>
    <w:p>
      <w:pPr>
        <w:spacing w:after="60" w:before="60"/>
      </w:pPr>
      <w:r>
        <w:t xml:space="preserve"/>
      </w:r>
    </w:p>
    <w:p>
      <w:pPr>
        <w:spacing w:after="100" w:before="80"/>
      </w:pPr>
      <w:r>
        <w:rPr>
          <w:rFonts w:ascii="Arial" w:cs="Arial" w:eastAsia="Arial" w:hAnsi="Arial"/>
          <w:sz w:val="22"/>
          <w:szCs w:val="22"/>
        </w:rPr>
        <w:t xml:space="preserve">The torque margin analysis was revised to address manufacturing tolerance stack-up effects. The revised analysis shows the threshold KPP (650 lb-ft) is achievable with a 3-4% margin under nominal conditions but shows margin erosion to less than 1% at elevated temperature. Government reviewers noted this as a risk to be resolved in testing.</w:t>
      </w:r>
    </w:p>
    <w:p>
      <w:pPr>
        <w:spacing w:after="60" w:before="60"/>
      </w:pPr>
      <w:r>
        <w:t xml:space="preserve"/>
      </w:r>
    </w:p>
    <w:p>
      <w:pPr>
        <w:spacing w:after="100" w:before="80"/>
      </w:pPr>
      <w:r>
        <w:rPr>
          <w:rFonts w:ascii="Arial" w:cs="Arial" w:eastAsia="Arial" w:hAnsi="Arial"/>
          <w:sz w:val="22"/>
          <w:szCs w:val="22"/>
        </w:rPr>
        <w:t xml:space="preserve">Fourteen CDR action items were issued in the conditional acceptance letter of 29 July 2025. The Government's expectation is that all 14 will be substantively resolved before acceptance testing begins, per the conditional acceptance terms.</w:t>
      </w:r>
    </w:p>
    <w:p>
      <w:pPr>
        <w:spacing w:after="60" w:before="60"/>
      </w:pPr>
      <w:r>
        <w:t xml:space="preserve"/>
      </w:r>
    </w:p>
    <w:p>
      <w:pPr>
        <w:spacing w:after="100" w:before="80"/>
      </w:pPr>
      <w:r>
        <w:rPr>
          <w:rFonts w:ascii="Arial" w:cs="Arial" w:eastAsia="Arial" w:hAnsi="Arial"/>
          <w:sz w:val="22"/>
          <w:szCs w:val="22"/>
        </w:rPr>
        <w:t xml:space="preserve">The mechanical integration design is mature and well-documented. The high-voltage wiring harness design is complete and suitable for fabrication. The ATCI motor controller design, reviewed at CDR, is technically sound.</w:t>
      </w:r>
    </w:p>
    <w:p>
      <w:pPr>
        <w:pStyle w:val="Heading1"/>
        <w:pBdr>
          <w:bottom w:val="single" w:color="1C3557" w:sz="3" w:space="1"/>
        </w:pBdr>
        <w:spacing w:after="120" w:before="280"/>
      </w:pPr>
      <w:r>
        <w:rPr>
          <w:rFonts w:ascii="Arial" w:cs="Arial" w:eastAsia="Arial" w:hAnsi="Arial"/>
          <w:b/>
          <w:bCs/>
          <w:color w:val="1C3557"/>
          <w:sz w:val="26"/>
          <w:szCs w:val="26"/>
        </w:rPr>
        <w:t xml:space="preserve">5. Staffing and Personnel</w:t>
      </w:r>
    </w:p>
    <w:p>
      <w:pPr>
        <w:spacing w:after="100" w:before="80"/>
      </w:pPr>
      <w:r>
        <w:rPr>
          <w:rFonts w:ascii="Arial" w:cs="Arial" w:eastAsia="Arial" w:hAnsi="Arial"/>
          <w:sz w:val="22"/>
          <w:szCs w:val="22"/>
        </w:rPr>
        <w:t xml:space="preserve">The departure of Marcus Hendley (Mechanical Design Lead) on 13 June 2025, during CDR preparation, is a significant program management concern. The contractor did not notify the Government of this departure until the Q3 progress report (submitted 22 July 2025), over five weeks after the fact. The Government became aware informally through a CDR presentation slide that attributed certain mechanical analysis sections to "PM/SE support" rather than the named key personnel. This is not an acceptable method of key personnel change notification under the DO terms and conditions.</w:t>
      </w:r>
    </w:p>
    <w:p>
      <w:pPr>
        <w:spacing w:after="60" w:before="60"/>
      </w:pPr>
      <w:r>
        <w:t xml:space="preserve"/>
      </w:r>
    </w:p>
    <w:p>
      <w:pPr>
        <w:spacing w:after="100" w:before="80"/>
      </w:pPr>
      <w:r>
        <w:rPr>
          <w:rFonts w:ascii="Arial" w:cs="Arial" w:eastAsia="Arial" w:hAnsi="Arial"/>
          <w:sz w:val="22"/>
          <w:szCs w:val="22"/>
        </w:rPr>
        <w:t xml:space="preserve">The Government formally notified Meridian on 29 July 2025 (concurrent with CDR conditional acceptance) that key personnel change notification requirements must be followed and that the replacement hire commitment (01 September 2025) will be monitored.</w:t>
      </w:r>
    </w:p>
    <w:p>
      <w:pPr>
        <w:pStyle w:val="Heading1"/>
        <w:pBdr>
          <w:bottom w:val="single" w:color="1C3557" w:sz="3" w:space="1"/>
        </w:pBdr>
        <w:spacing w:after="120" w:before="280"/>
      </w:pPr>
      <w:r>
        <w:rPr>
          <w:rFonts w:ascii="Arial" w:cs="Arial" w:eastAsia="Arial" w:hAnsi="Arial"/>
          <w:b/>
          <w:bCs/>
          <w:color w:val="1C3557"/>
          <w:sz w:val="26"/>
          <w:szCs w:val="26"/>
        </w:rPr>
        <w:t xml:space="preserve">6. Communication and Reporting</w:t>
      </w:r>
    </w:p>
    <w:p>
      <w:pPr>
        <w:spacing w:after="100" w:before="80"/>
      </w:pPr>
      <w:r>
        <w:rPr>
          <w:rFonts w:ascii="Arial" w:cs="Arial" w:eastAsia="Arial" w:hAnsi="Arial"/>
          <w:sz w:val="22"/>
          <w:szCs w:val="22"/>
        </w:rPr>
        <w:t xml:space="preserve">Communication performance improved modestly from the PDR period but remains below standard. The CDR meeting minutes, provided by Meridian, were distributed 17 days after the CDR — well outside the 5-day CDRL A014 requirement. The Q3 progress report was submitted 22 July 2025, 22 days after the end of the reporting period. CDRL A003 (Monthly Risk Report) has been submitted for 4 of 9 performance months to date.</w:t>
      </w:r>
    </w:p>
    <w:p>
      <w:pPr>
        <w:spacing w:after="60" w:before="60"/>
      </w:pPr>
      <w:r>
        <w:t xml:space="preserve"/>
      </w:r>
    </w:p>
    <w:p>
      <w:pPr>
        <w:spacing w:after="100" w:before="80"/>
      </w:pPr>
      <w:r>
        <w:rPr>
          <w:rFonts w:ascii="Arial" w:cs="Arial" w:eastAsia="Arial" w:hAnsi="Arial"/>
          <w:sz w:val="22"/>
          <w:szCs w:val="22"/>
        </w:rPr>
        <w:t xml:space="preserve">The Government notes a pattern that is recurring: communications tend to occur reactively (responding to Government requests or transmittals) rather than proactively. The contractor's program manager is responsive when contacted but does not consistently initiate communication on developing issues.</w:t>
      </w:r>
    </w:p>
    <w:p>
      <w:pPr>
        <w:pStyle w:val="Heading1"/>
        <w:pBdr>
          <w:bottom w:val="single" w:color="1C3557" w:sz="3" w:space="1"/>
        </w:pBdr>
        <w:spacing w:after="120" w:before="280"/>
      </w:pPr>
      <w:r>
        <w:rPr>
          <w:rFonts w:ascii="Arial" w:cs="Arial" w:eastAsia="Arial" w:hAnsi="Arial"/>
          <w:b/>
          <w:bCs/>
          <w:color w:val="1C3557"/>
          <w:sz w:val="26"/>
          <w:szCs w:val="26"/>
        </w:rPr>
        <w:t xml:space="preserve">7. Outlook</w:t>
      </w:r>
    </w:p>
    <w:p>
      <w:pPr>
        <w:spacing w:after="100" w:before="80"/>
      </w:pPr>
      <w:r>
        <w:rPr>
          <w:rFonts w:ascii="Arial" w:cs="Arial" w:eastAsia="Arial" w:hAnsi="Arial"/>
          <w:sz w:val="22"/>
          <w:szCs w:val="22"/>
        </w:rPr>
        <w:t xml:space="preserve">The program is now in the fabrication and integration phase. Motor controller hardware is on order from ATCI with delivery projected in September 2025. Mechanical fabrication has begun. GFE JLTV delivery remains unconfirmed, which is a Government-side risk the program office is tracking internally.</w:t>
      </w:r>
    </w:p>
    <w:p>
      <w:pPr>
        <w:spacing w:after="60" w:before="60"/>
      </w:pPr>
      <w:r>
        <w:t xml:space="preserve"/>
      </w:r>
    </w:p>
    <w:p>
      <w:pPr>
        <w:spacing w:after="100" w:before="80"/>
      </w:pPr>
      <w:r>
        <w:rPr>
          <w:rFonts w:ascii="Arial" w:cs="Arial" w:eastAsia="Arial" w:hAnsi="Arial"/>
          <w:sz w:val="22"/>
          <w:szCs w:val="22"/>
        </w:rPr>
        <w:t xml:space="preserve">The Government's primary concerns going into the integration and test phase are: (1) the Mechanical Lead vacancy and its impact on integration oversight; (2) the two unresolved CDR action items (thermal and torque margin) that will require test verification; and (3) the prototype delivery date of 15 December 2025 (per Meridian's revised IMS), which provides less than 3 months for integration, test, and closeout.</w:t>
      </w:r>
    </w:p>
    <w:p>
      <w:pPr>
        <w:spacing w:after="60" w:before="60"/>
      </w:pPr>
      <w:r>
        <w:t xml:space="preserve"/>
      </w:r>
    </w:p>
    <w:p>
      <w:pPr>
        <w:spacing w:after="100" w:before="80"/>
      </w:pPr>
      <w:r>
        <w:rPr>
          <w:rFonts w:ascii="Arial" w:cs="Arial" w:eastAsia="Arial" w:hAnsi="Arial"/>
          <w:sz w:val="22"/>
          <w:szCs w:val="22"/>
        </w:rPr>
        <w:t xml:space="preserve">A third PNR will be prepared at program closeout.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C3557"/>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B5F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2026-04-26T18:02:47.285Z</dcterms:created>
  <dcterms:modified xsi:type="dcterms:W3CDTF">2026-04-26T18:02:47.285Z</dcterms:modified>
</cp:coreProperties>
</file>

<file path=docProps/custom.xml><?xml version="1.0" encoding="utf-8"?>
<Properties xmlns="http://schemas.openxmlformats.org/officeDocument/2006/custom-properties" xmlns:vt="http://schemas.openxmlformats.org/officeDocument/2006/docPropsVTypes"/>
</file>