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ourier New" w:cs="Courier New" w:eastAsia="Courier New" w:hAnsi="Courier New"/>
          <w:b/>
          <w:bCs/>
          <w:caps/>
          <w:sz w:val="28"/>
          <w:szCs w:val="28"/>
        </w:rPr>
        <w:t xml:space="preserve">QUARTERLY PROGRESS REPORT — Q3</w:t>
      </w:r>
    </w:p>
    <w:p>
      <w:pPr>
        <w:spacing w:after="40" w:before="0"/>
        <w:jc w:val="center"/>
      </w:pPr>
      <w:r>
        <w:rPr>
          <w:rFonts w:ascii="Courier New" w:cs="Courier New" w:eastAsia="Courier New" w:hAnsi="Courier New"/>
          <w:sz w:val="22"/>
          <w:szCs w:val="22"/>
        </w:rPr>
        <w:t xml:space="preserve">01 April 2025 – 30 June 2025</w:t>
      </w:r>
    </w:p>
    <w:p>
      <w:pPr>
        <w:spacing w:after="40" w:before="0"/>
        <w:jc w:val="center"/>
      </w:pPr>
      <w:r>
        <w:rPr>
          <w:rFonts w:ascii="Courier New" w:cs="Courier New" w:eastAsia="Courier New" w:hAnsi="Courier New"/>
          <w:sz w:val="20"/>
          <w:szCs w:val="20"/>
        </w:rPr>
        <w:t xml:space="preserve">DO-0003 | JLTV Hybrid-Electric Drive Powertrain Prototype</w:t>
      </w:r>
    </w:p>
    <w:p>
      <w:pPr>
        <w:spacing w:after="200" w:before="0"/>
        <w:jc w:val="center"/>
      </w:pPr>
      <w:r>
        <w:rPr>
          <w:rFonts w:ascii="Courier New" w:cs="Courier New" w:eastAsia="Courier New" w:hAnsi="Courier New"/>
          <w:sz w:val="20"/>
          <w:szCs w:val="20"/>
        </w:rPr>
        <w:t xml:space="preserve">Meridian Drive Systems, LLC | Submitted: 22 July 2025</w:t>
      </w:r>
    </w:p>
    <w:p>
      <w:pPr>
        <w:pStyle w:val="Heading1"/>
        <w:pBdr>
          <w:bottom w:val="single" w:color="1C3557" w:sz="2" w:space="1"/>
        </w:pBdr>
        <w:spacing w:after="100" w:before="280"/>
      </w:pPr>
      <w:r>
        <w:rPr>
          <w:rFonts w:ascii="Courier New" w:cs="Courier New" w:eastAsia="Courier New" w:hAnsi="Courier New"/>
          <w:b/>
          <w:bCs/>
          <w:caps/>
          <w:sz w:val="24"/>
          <w:szCs w:val="24"/>
        </w:rPr>
        <w:t xml:space="preserve">1. Contract and Reporting Period Information</w:t>
      </w:r>
    </w:p>
    <w:p>
      <w:pPr>
        <w:spacing w:after="80" w:before="60"/>
      </w:pPr>
      <w:r>
        <w:rPr>
          <w:rFonts w:ascii="Courier New" w:cs="Courier New" w:eastAsia="Courier New" w:hAnsi="Courier New"/>
          <w:sz w:val="21"/>
          <w:szCs w:val="21"/>
        </w:rPr>
        <w:t xml:space="preserve">Contract Number: N0016426RMP01</w:t>
      </w:r>
    </w:p>
    <w:p>
      <w:pPr>
        <w:spacing w:after="80" w:before="60"/>
      </w:pPr>
      <w:r>
        <w:rPr>
          <w:rFonts w:ascii="Courier New" w:cs="Courier New" w:eastAsia="Courier New" w:hAnsi="Courier New"/>
          <w:sz w:val="21"/>
          <w:szCs w:val="21"/>
        </w:rPr>
        <w:t xml:space="preserve">Delivery Order: N00164-25-F-0003 (DO-0003)</w:t>
      </w:r>
    </w:p>
    <w:p>
      <w:pPr>
        <w:spacing w:after="80" w:before="60"/>
      </w:pPr>
      <w:r>
        <w:rPr>
          <w:rFonts w:ascii="Courier New" w:cs="Courier New" w:eastAsia="Courier New" w:hAnsi="Courier New"/>
          <w:sz w:val="21"/>
          <w:szCs w:val="21"/>
        </w:rPr>
        <w:t xml:space="preserve">Report Period: 01 April 2025 – 30 June 2025</w:t>
      </w:r>
    </w:p>
    <w:p>
      <w:pPr>
        <w:spacing w:after="80" w:before="60"/>
      </w:pPr>
      <w:r>
        <w:rPr>
          <w:rFonts w:ascii="Courier New" w:cs="Courier New" w:eastAsia="Courier New" w:hAnsi="Courier New"/>
          <w:sz w:val="21"/>
          <w:szCs w:val="21"/>
        </w:rPr>
        <w:t xml:space="preserve">Submission Date: 22 July 2025</w:t>
      </w:r>
    </w:p>
    <w:p>
      <w:pPr>
        <w:pStyle w:val="Heading1"/>
        <w:pBdr>
          <w:bottom w:val="single" w:color="1C3557" w:sz="2" w:space="1"/>
        </w:pBdr>
        <w:spacing w:after="100" w:before="280"/>
      </w:pPr>
      <w:r>
        <w:rPr>
          <w:rFonts w:ascii="Courier New" w:cs="Courier New" w:eastAsia="Courier New" w:hAnsi="Courier New"/>
          <w:b/>
          <w:bCs/>
          <w:caps/>
          <w:sz w:val="24"/>
          <w:szCs w:val="24"/>
        </w:rPr>
        <w:t xml:space="preserve">2. Summary of Technical Progress</w:t>
      </w:r>
    </w:p>
    <w:p>
      <w:pPr>
        <w:spacing w:after="80" w:before="60"/>
      </w:pPr>
      <w:r>
        <w:rPr>
          <w:rFonts w:ascii="Courier New" w:cs="Courier New" w:eastAsia="Courier New" w:hAnsi="Courier New"/>
          <w:sz w:val="21"/>
          <w:szCs w:val="21"/>
        </w:rPr>
        <w:t xml:space="preserve">Meridian provided responses to the 22 Government PDR action items on 14 April 2025. Government review of the responses was completed on 09 May 2025; 8 of the 22 action items were accepted as closed, 11 were returned with requests for additional information or revision, and 3 were elevated to open issues for resolution at CDR. The thermal management analysis and torque margin substantiation items remain open.</w:t>
      </w:r>
    </w:p>
    <w:p>
      <w:pPr>
        <w:spacing w:after="40" w:before="40"/>
      </w:pPr>
      <w:r>
        <w:t xml:space="preserve"/>
      </w:r>
    </w:p>
    <w:p>
      <w:pPr>
        <w:spacing w:after="80" w:before="60"/>
      </w:pPr>
      <w:r>
        <w:rPr>
          <w:rFonts w:ascii="Courier New" w:cs="Courier New" w:eastAsia="Courier New" w:hAnsi="Courier New"/>
          <w:sz w:val="21"/>
          <w:szCs w:val="21"/>
        </w:rPr>
        <w:t xml:space="preserve">The CDR package was submitted to the Government COR on 02 June 2025. The CDR was originally scheduled for 06 May 2025 and subsequently rescheduled to 17 June 2025 due to the PDR action item resolution timeline. On 12 June 2025, Meridian requested a further postponement to allow additional time to mature the thermal management analysis prior to CDR; the CDR was rescheduled to 08 July 2025 (occurring in Q4).</w:t>
      </w:r>
    </w:p>
    <w:p>
      <w:pPr>
        <w:spacing w:after="40" w:before="40"/>
      </w:pPr>
      <w:r>
        <w:t xml:space="preserve"/>
      </w:r>
    </w:p>
    <w:p>
      <w:pPr>
        <w:spacing w:after="80" w:before="60"/>
      </w:pPr>
      <w:r>
        <w:rPr>
          <w:rFonts w:ascii="Courier New" w:cs="Courier New" w:eastAsia="Courier New" w:hAnsi="Courier New"/>
          <w:sz w:val="21"/>
          <w:szCs w:val="21"/>
        </w:rPr>
        <w:t xml:space="preserve">Detailed design is substantially complete for the mechanical integration package and the high-voltage wiring harness. The motor controller detailed design, led by ATCI, is at approximately 70% completion. The thermal management subsystem design is under revision in response to Government comments.</w:t>
      </w:r>
    </w:p>
    <w:p>
      <w:pPr>
        <w:spacing w:after="40" w:before="40"/>
      </w:pPr>
      <w:r>
        <w:t xml:space="preserve"/>
      </w:r>
    </w:p>
    <w:p>
      <w:pPr>
        <w:spacing w:after="80" w:before="60"/>
      </w:pPr>
      <w:r>
        <w:rPr>
          <w:rFonts w:ascii="Courier New" w:cs="Courier New" w:eastAsia="Courier New" w:hAnsi="Courier New"/>
          <w:sz w:val="21"/>
          <w:szCs w:val="21"/>
        </w:rPr>
        <w:t xml:space="preserve">The purchase order to ATCI for motor controller hardware was issued on 19 May 2025. ATCI confirmed a 16-week lead time from PO issuance, placing hardware availability at approximately 08 September 2025.</w:t>
      </w:r>
    </w:p>
    <w:p>
      <w:pPr>
        <w:pStyle w:val="Heading1"/>
        <w:pBdr>
          <w:bottom w:val="single" w:color="1C3557" w:sz="2" w:space="1"/>
        </w:pBdr>
        <w:spacing w:after="100" w:before="280"/>
      </w:pPr>
      <w:r>
        <w:rPr>
          <w:rFonts w:ascii="Courier New" w:cs="Courier New" w:eastAsia="Courier New" w:hAnsi="Courier New"/>
          <w:b/>
          <w:bCs/>
          <w:caps/>
          <w:sz w:val="24"/>
          <w:szCs w:val="24"/>
        </w:rPr>
        <w:t xml:space="preserve">3. Milestone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400"/>
        <w:gridCol w:w="2160"/>
      </w:tblGrid>
      <w:tr>
        <w:tc>
          <w:tcPr>
            <w:tcW w:type="dxa" w:w="4800"/>
            <w:tcBorders>
              <w:top w:val="single" w:color="1C3557" w:sz="4"/>
              <w:left w:val="single" w:color="1C3557" w:sz="4"/>
              <w:bottom w:val="single" w:color="1C3557" w:sz="4"/>
              <w:right w:val="single" w:color="1C3557" w:sz="4"/>
            </w:tcBorders>
            <w:shd w:fill="1C3557"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Milestone</w:t>
            </w:r>
          </w:p>
        </w:tc>
        <w:tc>
          <w:tcPr>
            <w:tcW w:type="dxa" w:w="2400"/>
            <w:tcBorders>
              <w:top w:val="single" w:color="1C3557" w:sz="4"/>
              <w:left w:val="single" w:color="1C3557" w:sz="4"/>
              <w:bottom w:val="single" w:color="1C3557" w:sz="4"/>
              <w:right w:val="single" w:color="1C3557" w:sz="4"/>
            </w:tcBorders>
            <w:shd w:fill="1C3557"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Planned</w:t>
            </w:r>
          </w:p>
        </w:tc>
        <w:tc>
          <w:tcPr>
            <w:tcW w:type="dxa" w:w="2160"/>
            <w:tcBorders>
              <w:top w:val="single" w:color="1C3557" w:sz="4"/>
              <w:left w:val="single" w:color="1C3557" w:sz="4"/>
              <w:bottom w:val="single" w:color="1C3557" w:sz="4"/>
              <w:right w:val="single" w:color="1C3557" w:sz="4"/>
            </w:tcBorders>
            <w:shd w:fill="1C3557"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Status / Actual</w:t>
            </w:r>
          </w:p>
        </w:tc>
      </w:tr>
      <w:tr>
        <w:tc>
          <w:tcPr>
            <w:tcW w:type="dxa" w:w="48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PDR Action Item Responses</w:t>
            </w:r>
          </w:p>
        </w:tc>
        <w:tc>
          <w:tcPr>
            <w:tcW w:type="dxa" w:w="24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21 Mar 2025</w:t>
            </w:r>
          </w:p>
        </w:tc>
        <w:tc>
          <w:tcPr>
            <w:tcW w:type="dxa" w:w="216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Submitted 14 Apr 2025 (24 days late)</w:t>
            </w:r>
          </w:p>
        </w:tc>
      </w:tr>
      <w:tr>
        <w:tc>
          <w:tcPr>
            <w:tcW w:type="dxa" w:w="4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Govt Review of PDR AI Responses</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11 Apr 2025</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Completed 09 May 2025</w:t>
            </w:r>
          </w:p>
        </w:tc>
      </w:tr>
      <w:tr>
        <w:tc>
          <w:tcPr>
            <w:tcW w:type="dxa" w:w="48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CDR Package Submission</w:t>
            </w:r>
          </w:p>
        </w:tc>
        <w:tc>
          <w:tcPr>
            <w:tcW w:type="dxa" w:w="24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15 Apr 2025</w:t>
            </w:r>
          </w:p>
        </w:tc>
        <w:tc>
          <w:tcPr>
            <w:tcW w:type="dxa" w:w="216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Submitted 02 Jun 2025 (48 days late)</w:t>
            </w:r>
          </w:p>
        </w:tc>
      </w:tr>
      <w:tr>
        <w:tc>
          <w:tcPr>
            <w:tcW w:type="dxa" w:w="4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CDR Conduct</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06 May 2025</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Rescheduled to 08 Jul 2025 (63 days late)</w:t>
            </w:r>
          </w:p>
        </w:tc>
      </w:tr>
      <w:tr>
        <w:tc>
          <w:tcPr>
            <w:tcW w:type="dxa" w:w="48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ATCI Motor Controller PO Issued</w:t>
            </w:r>
          </w:p>
        </w:tc>
        <w:tc>
          <w:tcPr>
            <w:tcW w:type="dxa" w:w="24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CDR+5 days</w:t>
            </w:r>
          </w:p>
        </w:tc>
        <w:tc>
          <w:tcPr>
            <w:tcW w:type="dxa" w:w="216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Issued 19 May 2025 (pre-CDR)</w:t>
            </w:r>
          </w:p>
        </w:tc>
      </w:tr>
      <w:tr>
        <w:tc>
          <w:tcPr>
            <w:tcW w:type="dxa" w:w="4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Fabrication Start (all subsystems)</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01 Jun 2025</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Partial; see Sec. 5</w:t>
            </w:r>
          </w:p>
        </w:tc>
      </w:tr>
      <w:tr>
        <w:tc>
          <w:tcPr>
            <w:tcW w:type="dxa" w:w="48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GFE JLTV Delivery (Govt)</w:t>
            </w:r>
          </w:p>
        </w:tc>
        <w:tc>
          <w:tcPr>
            <w:tcW w:type="dxa" w:w="24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TBD (pending Govt confirmation)</w:t>
            </w:r>
          </w:p>
        </w:tc>
        <w:tc>
          <w:tcPr>
            <w:tcW w:type="dxa" w:w="216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Not confirmed</w:t>
            </w:r>
          </w:p>
        </w:tc>
      </w:tr>
    </w:tbl>
    <w:p>
      <w:pPr>
        <w:spacing w:after="40" w:before="40"/>
      </w:pPr>
      <w:r>
        <w:t xml:space="preserve"/>
      </w:r>
    </w:p>
    <w:p>
      <w:pPr>
        <w:pStyle w:val="Heading1"/>
        <w:pBdr>
          <w:bottom w:val="single" w:color="1C3557" w:sz="2" w:space="1"/>
        </w:pBdr>
        <w:spacing w:after="100" w:before="280"/>
      </w:pPr>
      <w:r>
        <w:rPr>
          <w:rFonts w:ascii="Courier New" w:cs="Courier New" w:eastAsia="Courier New" w:hAnsi="Courier New"/>
          <w:b/>
          <w:bCs/>
          <w:caps/>
          <w:sz w:val="24"/>
          <w:szCs w:val="24"/>
        </w:rPr>
        <w:t xml:space="preserve">4. Staffing</w:t>
      </w:r>
    </w:p>
    <w:p>
      <w:pPr>
        <w:spacing w:after="80" w:before="60"/>
      </w:pPr>
      <w:r>
        <w:rPr>
          <w:rFonts w:ascii="Courier New" w:cs="Courier New" w:eastAsia="Courier New" w:hAnsi="Courier New"/>
          <w:sz w:val="21"/>
          <w:szCs w:val="21"/>
        </w:rPr>
        <w:t xml:space="preserve">Staffing remains as reported in Q2 with one change. Marcus Hendley (Mechanical Design Lead) departed Meridian Drive Systems effective 13 June 2025. Program management responsibilities have been redistributed; Derek Wahl is absorbing Hendley's supervisory role while Meridian recruits a replacement. The mechanical design package is substantially complete; Meridian assesses that the departure will not materially affect the fabrication schedule, though this assessment is under review.</w:t>
      </w:r>
    </w:p>
    <w:p>
      <w:pPr>
        <w:pStyle w:val="Heading1"/>
        <w:pBdr>
          <w:bottom w:val="single" w:color="1C3557" w:sz="2" w:space="1"/>
        </w:pBdr>
        <w:spacing w:after="100" w:before="280"/>
      </w:pPr>
      <w:r>
        <w:rPr>
          <w:rFonts w:ascii="Courier New" w:cs="Courier New" w:eastAsia="Courier New" w:hAnsi="Courier New"/>
          <w:b/>
          <w:bCs/>
          <w:caps/>
          <w:sz w:val="24"/>
          <w:szCs w:val="24"/>
        </w:rPr>
        <w:t xml:space="preserve">5. Schedule Discussion</w:t>
      </w:r>
    </w:p>
    <w:p>
      <w:pPr>
        <w:spacing w:after="80" w:before="60"/>
      </w:pPr>
      <w:r>
        <w:rPr>
          <w:rFonts w:ascii="Courier New" w:cs="Courier New" w:eastAsia="Courier New" w:hAnsi="Courier New"/>
          <w:sz w:val="21"/>
          <w:szCs w:val="21"/>
        </w:rPr>
        <w:t xml:space="preserve">The program schedule has incurred significant delays since contract award. The CDR, now rescheduled to 08 July 2025, is 63 calendar days later than originally planned. Fabrication of some mechanical components began in May 2025 in parallel with CDR preparation, but integration work cannot begin until CDR is formally complete and Government accepts the design baseline.</w:t>
      </w:r>
    </w:p>
    <w:p>
      <w:pPr>
        <w:spacing w:after="40" w:before="40"/>
      </w:pPr>
      <w:r>
        <w:t xml:space="preserve"/>
      </w:r>
    </w:p>
    <w:p>
      <w:pPr>
        <w:spacing w:after="80" w:before="60"/>
      </w:pPr>
      <w:r>
        <w:rPr>
          <w:rFonts w:ascii="Courier New" w:cs="Courier New" w:eastAsia="Courier New" w:hAnsi="Courier New"/>
          <w:sz w:val="21"/>
          <w:szCs w:val="21"/>
        </w:rPr>
        <w:t xml:space="preserve">Meridian is preparing a revised IMS to reflect the current program status. The revised IMS will be provided to the Government COR no later than 15 August 2025. The revised schedule will assess the impact of CDR delay on the fabrication, integration, and test timeline and on the prototype delivery date of 01 November 2025.</w:t>
      </w:r>
    </w:p>
    <w:p>
      <w:pPr>
        <w:spacing w:after="40" w:before="40"/>
      </w:pPr>
      <w:r>
        <w:t xml:space="preserve"/>
      </w:r>
    </w:p>
    <w:p>
      <w:pPr>
        <w:spacing w:after="80" w:before="60"/>
      </w:pPr>
      <w:r>
        <w:rPr>
          <w:rFonts w:ascii="Courier New" w:cs="Courier New" w:eastAsia="Courier New" w:hAnsi="Courier New"/>
          <w:sz w:val="21"/>
          <w:szCs w:val="21"/>
        </w:rPr>
        <w:t xml:space="preserve">ATCI motor controller hardware is not expected until approximately 08 September 2025. Integration of the motor controller into the prototype is therefore on the critical path.</w:t>
      </w:r>
    </w:p>
    <w:p>
      <w:pPr>
        <w:pStyle w:val="Heading1"/>
        <w:pBdr>
          <w:bottom w:val="single" w:color="1C3557" w:sz="2" w:space="1"/>
        </w:pBdr>
        <w:spacing w:after="100" w:before="280"/>
      </w:pPr>
      <w:r>
        <w:rPr>
          <w:rFonts w:ascii="Courier New" w:cs="Courier New" w:eastAsia="Courier New" w:hAnsi="Courier New"/>
          <w:b/>
          <w:bCs/>
          <w:caps/>
          <w:sz w:val="24"/>
          <w:szCs w:val="24"/>
        </w:rPr>
        <w:t xml:space="preserve">6. Risk and Issues</w:t>
      </w:r>
    </w:p>
    <w:p>
      <w:pPr>
        <w:spacing w:after="80" w:before="60"/>
      </w:pPr>
      <w:r>
        <w:rPr>
          <w:rFonts w:ascii="Courier New" w:cs="Courier New" w:eastAsia="Courier New" w:hAnsi="Courier New"/>
          <w:sz w:val="21"/>
          <w:szCs w:val="21"/>
        </w:rPr>
        <w:t xml:space="preserve">Risk 3 (GFE JLTV Delivery - OPEN): Meridian has made three requests for GFE delivery date confirmation. As of the end of Q3, no confirmed delivery date has been received. This remains a program risk.</w:t>
      </w:r>
    </w:p>
    <w:p>
      <w:pPr>
        <w:spacing w:after="40" w:before="40"/>
      </w:pPr>
      <w:r>
        <w:t xml:space="preserve"/>
      </w:r>
    </w:p>
    <w:p>
      <w:pPr>
        <w:spacing w:after="80" w:before="60"/>
      </w:pPr>
      <w:r>
        <w:rPr>
          <w:rFonts w:ascii="Courier New" w:cs="Courier New" w:eastAsia="Courier New" w:hAnsi="Courier New"/>
          <w:sz w:val="21"/>
          <w:szCs w:val="21"/>
        </w:rPr>
        <w:t xml:space="preserve">Risk 4 (Thermal Management / Torque Margin): PDR action items in this area remain open at CDR package submission. Resolution is required at CDR.</w:t>
      </w:r>
    </w:p>
    <w:p>
      <w:pPr>
        <w:spacing w:after="40" w:before="40"/>
      </w:pPr>
      <w:r>
        <w:t xml:space="preserve"/>
      </w:r>
    </w:p>
    <w:p>
      <w:pPr>
        <w:spacing w:after="80" w:before="60"/>
      </w:pPr>
      <w:r>
        <w:rPr>
          <w:rFonts w:ascii="Courier New" w:cs="Courier New" w:eastAsia="Courier New" w:hAnsi="Courier New"/>
          <w:sz w:val="21"/>
          <w:szCs w:val="21"/>
        </w:rPr>
        <w:t xml:space="preserve">Risk 6 (NEW, Likelihood: High / Impact: High): Mechanical Design Lead departure creates a staffing gap. Replacement recruitment is ongoing. Meridian does not yet have a confirmed replacement start date.</w:t>
      </w:r>
    </w:p>
    <w:p>
      <w:pPr>
        <w:spacing w:after="40" w:before="40"/>
      </w:pPr>
      <w:r>
        <w:t xml:space="preserve"/>
      </w:r>
    </w:p>
    <w:p>
      <w:pPr>
        <w:spacing w:after="80" w:before="60"/>
      </w:pPr>
      <w:r>
        <w:rPr>
          <w:rFonts w:ascii="Courier New" w:cs="Courier New" w:eastAsia="Courier New" w:hAnsi="Courier New"/>
          <w:sz w:val="21"/>
          <w:szCs w:val="21"/>
        </w:rPr>
        <w:t xml:space="preserve">Risk 7 (NEW, Likelihood: High / Impact: High): ATCI motor controller hardware delivery of approximately 08 September 2025 constrains prototype integration start. Combined with CDR delay, prototype delivery of 01 November 2025 is at significant risk.</w:t>
      </w:r>
    </w:p>
    <w:p>
      <w:pPr>
        <w:spacing w:after="40" w:before="40"/>
      </w:pPr>
      <w:r>
        <w:t xml:space="preserve"/>
      </w:r>
    </w:p>
    <w:p>
      <w:pPr>
        <w:spacing w:after="80" w:before="60"/>
      </w:pPr>
      <w:r>
        <w:rPr>
          <w:rFonts w:ascii="Courier New" w:cs="Courier New" w:eastAsia="Courier New" w:hAnsi="Courier New"/>
          <w:sz w:val="21"/>
          <w:szCs w:val="21"/>
        </w:rPr>
        <w:t xml:space="preserve">Note: A Corrective Action Request (CAR) was issued by the Government COR on 27 June 2025 regarding schedule performance and PDR action item resolution timelines. Meridian's formal response to the CAR is due 25 July 2025.</w:t>
      </w:r>
    </w:p>
    <w:p>
      <w:pPr>
        <w:pStyle w:val="Heading1"/>
        <w:pBdr>
          <w:bottom w:val="single" w:color="1C3557" w:sz="2" w:space="1"/>
        </w:pBdr>
        <w:spacing w:after="100" w:before="280"/>
      </w:pPr>
      <w:r>
        <w:rPr>
          <w:rFonts w:ascii="Courier New" w:cs="Courier New" w:eastAsia="Courier New" w:hAnsi="Courier New"/>
          <w:b/>
          <w:bCs/>
          <w:caps/>
          <w:sz w:val="24"/>
          <w:szCs w:val="24"/>
        </w:rPr>
        <w:t xml:space="preserve">7. Meetings, Travel, and Correspondence</w:t>
      </w:r>
    </w:p>
    <w:p>
      <w:pPr>
        <w:spacing w:after="80" w:before="60"/>
      </w:pPr>
      <w:r>
        <w:rPr>
          <w:rFonts w:ascii="Courier New" w:cs="Courier New" w:eastAsia="Courier New" w:hAnsi="Courier New"/>
          <w:sz w:val="21"/>
          <w:szCs w:val="21"/>
        </w:rPr>
        <w:t xml:space="preserve">CDR Package Review: Internal review sessions, May-June 2025.</w:t>
      </w:r>
    </w:p>
    <w:p>
      <w:pPr>
        <w:spacing w:after="40" w:before="40"/>
      </w:pPr>
      <w:r>
        <w:t xml:space="preserve"/>
      </w:r>
    </w:p>
    <w:p>
      <w:pPr>
        <w:spacing w:after="80" w:before="60"/>
      </w:pPr>
      <w:r>
        <w:rPr>
          <w:rFonts w:ascii="Courier New" w:cs="Courier New" w:eastAsia="Courier New" w:hAnsi="Courier New"/>
          <w:sz w:val="21"/>
          <w:szCs w:val="21"/>
        </w:rPr>
        <w:t xml:space="preserve">Government PDR Action Item Review: VTC, 09 May 2025. Nicole Jacobs, MXPQ technical staff; Derek Wahl, Thomas Hess (Meridian).</w:t>
      </w:r>
    </w:p>
    <w:p>
      <w:pPr>
        <w:spacing w:after="40" w:before="40"/>
      </w:pPr>
      <w:r>
        <w:t xml:space="preserve"/>
      </w:r>
    </w:p>
    <w:p>
      <w:pPr>
        <w:spacing w:after="80" w:before="60"/>
      </w:pPr>
      <w:r>
        <w:rPr>
          <w:rFonts w:ascii="Courier New" w:cs="Courier New" w:eastAsia="Courier New" w:hAnsi="Courier New"/>
          <w:sz w:val="21"/>
          <w:szCs w:val="21"/>
        </w:rPr>
        <w:t xml:space="preserve">CAR Issued: Government COR correspondence dated 27 June 2025. Meridian acknowledges receipt. Formal response in preparation.</w:t>
      </w:r>
    </w:p>
    <w:p>
      <w:pPr>
        <w:spacing w:after="40" w:before="40"/>
      </w:pPr>
      <w:r>
        <w:t xml:space="preserve"/>
      </w:r>
    </w:p>
    <w:p>
      <w:pPr>
        <w:spacing w:after="80" w:before="60"/>
      </w:pPr>
      <w:r>
        <w:rPr>
          <w:rFonts w:ascii="Courier New" w:cs="Courier New" w:eastAsia="Courier New" w:hAnsi="Courier New"/>
          <w:sz w:val="21"/>
          <w:szCs w:val="21"/>
        </w:rPr>
        <w:t xml:space="preserve">Note: A Technical Interchange Meeting (TIM) was proposed by Meridian for May 2025 to discuss thermal management approach prior to CDR submission. This meeting was scheduled for 15 May 2025 and then rescheduled to 29 May 2025. As of the end of Q3, the TIM had not been conducted; coordination on a rescheduled date is ongoing.</w:t>
      </w:r>
    </w:p>
    <w:p>
      <w:pPr>
        <w:pStyle w:val="Heading1"/>
        <w:pBdr>
          <w:bottom w:val="single" w:color="1C3557" w:sz="2" w:space="1"/>
        </w:pBdr>
        <w:spacing w:after="100" w:before="280"/>
      </w:pPr>
      <w:r>
        <w:rPr>
          <w:rFonts w:ascii="Courier New" w:cs="Courier New" w:eastAsia="Courier New" w:hAnsi="Courier New"/>
          <w:b/>
          <w:bCs/>
          <w:caps/>
          <w:sz w:val="24"/>
          <w:szCs w:val="24"/>
        </w:rPr>
        <w:t xml:space="preserve">8. Plans for Next Quarter</w:t>
      </w:r>
    </w:p>
    <w:p>
      <w:pPr>
        <w:spacing w:after="80" w:before="60"/>
      </w:pPr>
      <w:r>
        <w:rPr>
          <w:rFonts w:ascii="Courier New" w:cs="Courier New" w:eastAsia="Courier New" w:hAnsi="Courier New"/>
          <w:sz w:val="21"/>
          <w:szCs w:val="21"/>
        </w:rPr>
        <w:t xml:space="preserve">Q4 priorities: conduct CDR (08 July 2025); provide formal CAR response (due 25 July 2025); receive Government CDR disposition; advance fabrication; issue revised IMS by 15 August 2025; receive ATCI motor controller hardware; begin prototype integration; submit Test Plan (CDRL A011).</w:t>
      </w:r>
    </w:p>
    <w:p>
      <w:pPr>
        <w:pStyle w:val="Heading1"/>
        <w:pBdr>
          <w:bottom w:val="single" w:color="1C3557" w:sz="2" w:space="1"/>
        </w:pBdr>
        <w:spacing w:after="100" w:before="280"/>
      </w:pPr>
      <w:r>
        <w:rPr>
          <w:rFonts w:ascii="Courier New" w:cs="Courier New" w:eastAsia="Courier New" w:hAnsi="Courier New"/>
          <w:b/>
          <w:bCs/>
          <w:caps/>
          <w:sz w:val="24"/>
          <w:szCs w:val="24"/>
        </w:rPr>
        <w:t xml:space="preserve">Fiscal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5040"/>
            <w:tcBorders>
              <w:top w:val="single" w:color="1C3557" w:sz="4"/>
              <w:left w:val="single" w:color="1C3557" w:sz="4"/>
              <w:bottom w:val="single" w:color="1C3557" w:sz="4"/>
              <w:right w:val="single" w:color="1C3557" w:sz="4"/>
            </w:tcBorders>
            <w:shd w:fill="1C3557"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Item</w:t>
            </w:r>
          </w:p>
        </w:tc>
        <w:tc>
          <w:tcPr>
            <w:tcW w:type="dxa" w:w="4320"/>
            <w:tcBorders>
              <w:top w:val="single" w:color="1C3557" w:sz="4"/>
              <w:left w:val="single" w:color="1C3557" w:sz="4"/>
              <w:bottom w:val="single" w:color="1C3557" w:sz="4"/>
              <w:right w:val="single" w:color="1C3557" w:sz="4"/>
            </w:tcBorders>
            <w:shd w:fill="1C3557"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Amount</w:t>
            </w:r>
          </w:p>
        </w:tc>
      </w:tr>
      <w:tr>
        <w:tc>
          <w:tcPr>
            <w:tcW w:type="dxa" w:w="504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Expenditures This Quarter</w:t>
            </w:r>
          </w:p>
        </w:tc>
        <w:tc>
          <w:tcPr>
            <w:tcW w:type="dxa" w:w="432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$528,640.00</w:t>
            </w:r>
          </w:p>
        </w:tc>
      </w:tr>
      <w:tr>
        <w:tc>
          <w:tcPr>
            <w:tcW w:type="dxa" w:w="50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Total Expenditures to Date</w:t>
            </w:r>
          </w:p>
        </w:tc>
        <w:tc>
          <w:tcPr>
            <w:tcW w:type="dxa" w:w="43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$1,057,960.00</w:t>
            </w:r>
          </w:p>
        </w:tc>
      </w:tr>
      <w:tr>
        <w:tc>
          <w:tcPr>
            <w:tcW w:type="dxa" w:w="504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DO Ceiling (FFP)</w:t>
            </w:r>
          </w:p>
        </w:tc>
        <w:tc>
          <w:tcPr>
            <w:tcW w:type="dxa" w:w="432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$3,184,500.00</w:t>
            </w:r>
          </w:p>
        </w:tc>
      </w:tr>
      <w:tr>
        <w:tc>
          <w:tcPr>
            <w:tcW w:type="dxa" w:w="50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 of Ceiling Expended to Date</w:t>
            </w:r>
          </w:p>
        </w:tc>
        <w:tc>
          <w:tcPr>
            <w:tcW w:type="dxa" w:w="43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33.2%</w:t>
            </w:r>
          </w:p>
        </w:tc>
      </w:tr>
      <w:tr>
        <w:tc>
          <w:tcPr>
            <w:tcW w:type="dxa" w:w="504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Estimated Cost to Complete</w:t>
            </w:r>
          </w:p>
        </w:tc>
        <w:tc>
          <w:tcPr>
            <w:tcW w:type="dxa" w:w="432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$2,126,540.00</w:t>
            </w:r>
          </w:p>
        </w:tc>
      </w:tr>
    </w:tbl>
    <w:p>
      <w:pPr>
        <w:spacing w:after="40" w:before="40"/>
      </w:pPr>
      <w:r>
        <w:t xml:space="preserve"/>
      </w:r>
    </w:p>
    <w:p>
      <w:pPr>
        <w:spacing w:before="240"/>
        <w:jc w:val="center"/>
      </w:pPr>
      <w:r>
        <w:rPr>
          <w:rFonts w:ascii="Courier New" w:cs="Courier New" w:eastAsia="Courier New" w:hAnsi="Courier New"/>
          <w:color w:val="888888"/>
          <w:sz w:val="19"/>
          <w:szCs w:val="19"/>
        </w:rPr>
        <w:t xml:space="preserve">--- END OF QUARTERLY PROGRESS REPORT Q3 ---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cs="Courier New" w:eastAsia="Courier New" w:hAnsi="Courier New"/>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Courier New" w:cs="Courier New" w:eastAsia="Courier New" w:hAnsi="Courier New"/>
      <w:b/>
      <w:bCs/>
      <w:sz w:val="24"/>
      <w:szCs w:val="24"/>
    </w:rPr>
  </w:style>
  <w:style w:type="paragraph" w:styleId="Heading2">
    <w:name w:val="Heading 2"/>
    <w:basedOn w:val="Normal"/>
    <w:next w:val="Normal"/>
    <w:qFormat/>
    <w:pPr>
      <w:spacing w:after="60" w:before="180"/>
      <w:outlineLvl w:val="1"/>
    </w:pPr>
    <w:rPr>
      <w:rFonts w:ascii="Courier New" w:cs="Courier New" w:eastAsia="Courier New" w:hAnsi="Courier New"/>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2026-04-26T17:59:06.924Z</dcterms:created>
  <dcterms:modified xsi:type="dcterms:W3CDTF">2026-04-26T17:59:06.924Z</dcterms:modified>
</cp:coreProperties>
</file>

<file path=docProps/custom.xml><?xml version="1.0" encoding="utf-8"?>
<Properties xmlns="http://schemas.openxmlformats.org/officeDocument/2006/custom-properties" xmlns:vt="http://schemas.openxmlformats.org/officeDocument/2006/docPropsVTypes"/>
</file>