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pPr>
      <w:r>
        <w:rPr>
          <w:rFonts w:ascii="Calibri" w:cs="Calibri" w:eastAsia="Calibri" w:hAnsi="Calibri"/>
          <w:b/>
          <w:bCs/>
          <w:color w:val="4A1C6E"/>
          <w:sz w:val="28"/>
          <w:szCs w:val="28"/>
        </w:rPr>
        <w:t xml:space="preserve">VERTEX SHELTER SYSTEMS, INC.</w:t>
      </w:r>
    </w:p>
    <w:p>
      <w:pPr>
        <w:pBdr>
          <w:bottom w:val="single" w:color="4A1C6E" w:sz="6" w:space="1"/>
        </w:pBdr>
        <w:spacing w:after="160" w:before="0"/>
      </w:pPr>
      <w:r>
        <w:rPr>
          <w:rFonts w:ascii="Calibri" w:cs="Calibri" w:eastAsia="Calibri" w:hAnsi="Calibri"/>
          <w:color w:val="777777"/>
          <w:sz w:val="18"/>
          <w:szCs w:val="18"/>
        </w:rPr>
        <w:t xml:space="preserve">4820 Research Park Drive SW, Huntsville, AL 35806  |  www.vertexsheltersystems.com  |  256-555-0291</w:t>
      </w:r>
    </w:p>
    <w:p>
      <w:pPr>
        <w:spacing w:after="40" w:before="40"/>
      </w:pPr>
      <w:r>
        <w:t xml:space="preserve"/>
      </w:r>
    </w:p>
    <w:p>
      <w:pPr>
        <w:spacing w:after="40" w:before="0"/>
      </w:pPr>
      <w:r>
        <w:rPr>
          <w:rFonts w:ascii="Calibri" w:cs="Calibri" w:eastAsia="Calibri" w:hAnsi="Calibri"/>
          <w:b/>
          <w:bCs/>
          <w:color w:val="4A1C6E"/>
          <w:sz w:val="26"/>
          <w:szCs w:val="26"/>
        </w:rPr>
        <w:t xml:space="preserve">CONTRACT MONTHLY PROGRESS REPORT</w:t>
      </w:r>
    </w:p>
    <w:p>
      <w:pPr>
        <w:spacing w:after="180" w:before="0"/>
      </w:pPr>
      <w:r>
        <w:rPr>
          <w:rFonts w:ascii="Calibri" w:cs="Calibri" w:eastAsia="Calibri" w:hAnsi="Calibri"/>
          <w:color w:val="444444"/>
          <w:sz w:val="21"/>
          <w:szCs w:val="21"/>
        </w:rPr>
        <w:t xml:space="preserve">Month 6 of 12  |  01 March 2025 – 31 March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b/>
                <w:bCs/>
                <w:sz w:val="19"/>
                <w:szCs w:val="19"/>
              </w:rPr>
              <w:t xml:space="preserve">Contract No.</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N0017325RDH03</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
            </w:r>
          </w:p>
        </w:tc>
      </w:tr>
      <w:tr>
        <w:tc>
          <w:tcPr>
            <w:tcW w:type="dxa" w:w="240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b/>
                <w:bCs/>
                <w:sz w:val="19"/>
                <w:szCs w:val="19"/>
              </w:rPr>
              <w:t xml:space="preserve">CDRL</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A001 — Contract Monthly Progress Report</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
            </w:r>
          </w:p>
        </w:tc>
      </w:tr>
      <w:tr>
        <w:tc>
          <w:tcPr>
            <w:tcW w:type="dxa" w:w="240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b/>
                <w:bCs/>
                <w:sz w:val="19"/>
                <w:szCs w:val="19"/>
              </w:rPr>
              <w:t xml:space="preserve">System</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X-Hangar (3rd Gen Expeditionary Hangar)</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
            </w:r>
          </w:p>
        </w:tc>
      </w:tr>
      <w:tr>
        <w:tc>
          <w:tcPr>
            <w:tcW w:type="dxa" w:w="240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b/>
                <w:bCs/>
                <w:sz w:val="19"/>
                <w:szCs w:val="19"/>
              </w:rPr>
              <w:t xml:space="preserve">Reporting Period</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01 March 2025 – 31 March 2025</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
            </w:r>
          </w:p>
        </w:tc>
      </w:tr>
      <w:tr>
        <w:tc>
          <w:tcPr>
            <w:tcW w:type="dxa" w:w="240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b/>
                <w:bCs/>
                <w:sz w:val="19"/>
                <w:szCs w:val="19"/>
              </w:rPr>
              <w:t xml:space="preserve">Submitted</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16 April 2025</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
            </w:r>
          </w:p>
        </w:tc>
      </w:tr>
      <w:tr>
        <w:tc>
          <w:tcPr>
            <w:tcW w:type="dxa" w:w="240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b/>
                <w:bCs/>
                <w:sz w:val="19"/>
                <w:szCs w:val="19"/>
              </w:rPr>
              <w:t xml:space="preserve">Contractor PM</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Thomas Gruber, PMP — Vertex Shelter Systems, Inc.</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
            </w:r>
          </w:p>
        </w:tc>
      </w:tr>
      <w:tr>
        <w:tc>
          <w:tcPr>
            <w:tcW w:type="dxa" w:w="240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b/>
                <w:bCs/>
                <w:sz w:val="19"/>
                <w:szCs w:val="19"/>
              </w:rPr>
              <w:t xml:space="preserve">Government PM</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Nicole Jacobs, Program Manager — NRL Code 5009</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
            </w:r>
          </w:p>
        </w:tc>
      </w:tr>
      <w:tr>
        <w:tc>
          <w:tcPr>
            <w:tcW w:type="dxa" w:w="240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b/>
                <w:bCs/>
                <w:sz w:val="19"/>
                <w:szCs w:val="19"/>
              </w:rPr>
              <w:t xml:space="preserve">CO</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Jason Calandruccio — NRL Code N00173</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
            </w:r>
          </w:p>
        </w:tc>
      </w:tr>
    </w:tbl>
    <w:p>
      <w:pPr>
        <w:spacing w:after="40" w:before="40"/>
      </w:pPr>
      <w:r>
        <w:t xml:space="preserve"/>
      </w:r>
    </w:p>
    <w:p>
      <w:pPr>
        <w:pBdr>
          <w:bottom w:val="single" w:color="C8A8E8" w:sz="2" w:space="1"/>
        </w:pBdr>
        <w:spacing w:after="80" w:before="200"/>
      </w:pPr>
      <w:r>
        <w:rPr>
          <w:rFonts w:ascii="Calibri" w:cs="Calibri" w:eastAsia="Calibri" w:hAnsi="Calibri"/>
          <w:b/>
          <w:bCs/>
          <w:color w:val="4A1C6E"/>
          <w:sz w:val="22"/>
          <w:szCs w:val="22"/>
        </w:rPr>
        <w:t xml:space="preserve">1. Technical Progress Summary</w:t>
      </w:r>
    </w:p>
    <w:p>
      <w:pPr>
        <w:spacing w:after="80" w:before="60"/>
      </w:pPr>
      <w:r>
        <w:rPr>
          <w:rFonts w:ascii="Calibri" w:cs="Calibri" w:eastAsia="Calibri" w:hAnsi="Calibri"/>
          <w:sz w:val="21"/>
          <w:szCs w:val="21"/>
        </w:rPr>
        <w:t xml:space="preserve">IPR 2 (Spin 1 Testing Review, CDRL A006) was conducted on 18 March 2025 at Vertex's Huntsville facility. Government attendees participated via video teleconference. Vertex presented the Spin 1 assembly and erection test results conducted on 13-14 March 2025.</w:t>
      </w:r>
    </w:p>
    <w:p>
      <w:pPr>
        <w:spacing w:after="40" w:before="40"/>
      </w:pPr>
      <w:r>
        <w:t xml:space="preserve"/>
      </w:r>
    </w:p>
    <w:p>
      <w:pPr>
        <w:spacing w:after="80" w:before="60"/>
      </w:pPr>
      <w:r>
        <w:rPr>
          <w:rFonts w:ascii="Calibri" w:cs="Calibri" w:eastAsia="Calibri" w:hAnsi="Calibri"/>
          <w:sz w:val="21"/>
          <w:szCs w:val="21"/>
        </w:rPr>
        <w:t xml:space="preserve">Spin 1 erection test results: a 6-person crew erected the USAF prototype X-Hangar in 47 minutes on the first attempt and 41 minutes on the second attempt. The contract erection time requirement, as specified in the Statement of Work, is 30 minutes for a trained 6-person crew. Vertex presented these results at IPR 2. Vertex's position is that the Spin 1 crew was performing the procedure for the first time and that trained crew times are expected to improve with repetition and a refined assembly manual. Vertex committed to providing a revised erection procedure with color-coded pole sequencing for the first production units (CDRL A007).</w:t>
      </w:r>
    </w:p>
    <w:p>
      <w:pPr>
        <w:spacing w:after="40" w:before="40"/>
      </w:pPr>
      <w:r>
        <w:t xml:space="preserve"/>
      </w:r>
    </w:p>
    <w:p>
      <w:pPr>
        <w:spacing w:after="80" w:before="60"/>
      </w:pPr>
      <w:r>
        <w:rPr>
          <w:rFonts w:ascii="Calibri" w:cs="Calibri" w:eastAsia="Calibri" w:hAnsi="Calibri"/>
          <w:sz w:val="21"/>
          <w:szCs w:val="21"/>
        </w:rPr>
        <w:t xml:space="preserve">Camouflage panel erection and tensioning was demonstrated during the Spin 1 test. Panel alignment on the urban side was consistent across all panels. The tropical side showed visible seam misalignment at three panel junctions, assessed by Vertex as within acceptable tolerance for the Spin 1 prototype. Chromatic Fabrics has been notified to review the panel edge hem geometry for the production panel sets.</w:t>
      </w:r>
    </w:p>
    <w:p>
      <w:pPr>
        <w:spacing w:after="40" w:before="40"/>
      </w:pPr>
      <w:r>
        <w:t xml:space="preserve"/>
      </w:r>
    </w:p>
    <w:p>
      <w:pPr>
        <w:spacing w:after="80" w:before="60"/>
      </w:pPr>
      <w:r>
        <w:rPr>
          <w:rFonts w:ascii="Calibri" w:cs="Calibri" w:eastAsia="Calibri" w:hAnsi="Calibri"/>
          <w:sz w:val="21"/>
          <w:szCs w:val="21"/>
        </w:rPr>
        <w:t xml:space="preserve">First production unit fabrication (both USAF and USMC configurations) was completed during March 2025. Full camouflage panel sets for both units were received from Chromatic Fabrics on 28 March 2025 and are undergoing incoming inspection.</w:t>
      </w:r>
    </w:p>
    <w:p>
      <w:pPr>
        <w:spacing w:after="40" w:before="40"/>
      </w:pPr>
      <w:r>
        <w:t xml:space="preserve"/>
      </w:r>
    </w:p>
    <w:p>
      <w:pPr>
        <w:spacing w:after="80" w:before="60"/>
      </w:pPr>
      <w:r>
        <w:rPr>
          <w:rFonts w:ascii="Calibri" w:cs="Calibri" w:eastAsia="Calibri" w:hAnsi="Calibri"/>
          <w:sz w:val="21"/>
          <w:szCs w:val="21"/>
        </w:rPr>
        <w:t xml:space="preserve">Government comment letter from Nicole Jacobs dated 14 March 2025 was received. The letter addressed four items: (1) erection time requirement — Government position that Spin 1 results do not demonstrate compliance, (2) tropical side panel seam alignment — Government requests formal characterization of seam gap measurement at all panel junctions, (3) request for erection time test protocol to be submitted prior to first production delivery, and (4) status of the erection time verification plan from the IPR 1 response gap. Vertex response is in preparation.</w:t>
      </w:r>
    </w:p>
    <w:p>
      <w:pPr>
        <w:pBdr>
          <w:bottom w:val="single" w:color="C8A8E8" w:sz="2" w:space="1"/>
        </w:pBdr>
        <w:spacing w:after="80" w:before="200"/>
      </w:pPr>
      <w:r>
        <w:rPr>
          <w:rFonts w:ascii="Calibri" w:cs="Calibri" w:eastAsia="Calibri" w:hAnsi="Calibri"/>
          <w:b/>
          <w:bCs/>
          <w:color w:val="4A1C6E"/>
          <w:sz w:val="22"/>
          <w:szCs w:val="22"/>
        </w:rPr>
        <w:t xml:space="preserve">2. Milestone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2160"/>
        <w:gridCol w:w="2160"/>
      </w:tblGrid>
      <w:tr>
        <w:tc>
          <w:tcPr>
            <w:tcW w:type="dxa" w:w="5040"/>
            <w:tcBorders>
              <w:top w:val="single" w:color="4A1C6E" w:sz="2"/>
              <w:left w:val="single" w:color="4A1C6E" w:sz="2"/>
              <w:bottom w:val="single" w:color="4A1C6E" w:sz="2"/>
              <w:right w:val="single" w:color="4A1C6E" w:sz="2"/>
            </w:tcBorders>
            <w:shd w:fill="4A1C6E" w:val="clear"/>
            <w:tcMar>
              <w:top w:type="dxa" w:w="60"/>
              <w:left w:type="dxa" w:w="100"/>
              <w:bottom w:type="dxa" w:w="60"/>
              <w:right w:type="dxa" w:w="100"/>
            </w:tcMar>
          </w:tcPr>
          <w:p>
            <w:r>
              <w:rPr>
                <w:rFonts w:ascii="Calibri" w:cs="Calibri" w:eastAsia="Calibri" w:hAnsi="Calibri"/>
                <w:b/>
                <w:bCs/>
                <w:color w:val="FFFFFF"/>
                <w:sz w:val="19"/>
                <w:szCs w:val="19"/>
              </w:rPr>
              <w:t xml:space="preserve">Milestone / Deliverable</w:t>
            </w:r>
          </w:p>
        </w:tc>
        <w:tc>
          <w:tcPr>
            <w:tcW w:type="dxa" w:w="2160"/>
            <w:tcBorders>
              <w:top w:val="single" w:color="4A1C6E" w:sz="2"/>
              <w:left w:val="single" w:color="4A1C6E" w:sz="2"/>
              <w:bottom w:val="single" w:color="4A1C6E" w:sz="2"/>
              <w:right w:val="single" w:color="4A1C6E" w:sz="2"/>
            </w:tcBorders>
            <w:shd w:fill="4A1C6E" w:val="clear"/>
            <w:tcMar>
              <w:top w:type="dxa" w:w="60"/>
              <w:left w:type="dxa" w:w="100"/>
              <w:bottom w:type="dxa" w:w="60"/>
              <w:right w:type="dxa" w:w="100"/>
            </w:tcMar>
          </w:tcPr>
          <w:p>
            <w:r>
              <w:rPr>
                <w:rFonts w:ascii="Calibri" w:cs="Calibri" w:eastAsia="Calibri" w:hAnsi="Calibri"/>
                <w:b/>
                <w:bCs/>
                <w:color w:val="FFFFFF"/>
                <w:sz w:val="19"/>
                <w:szCs w:val="19"/>
              </w:rPr>
              <w:t xml:space="preserve">Planned</w:t>
            </w:r>
          </w:p>
        </w:tc>
        <w:tc>
          <w:tcPr>
            <w:tcW w:type="dxa" w:w="2160"/>
            <w:tcBorders>
              <w:top w:val="single" w:color="4A1C6E" w:sz="2"/>
              <w:left w:val="single" w:color="4A1C6E" w:sz="2"/>
              <w:bottom w:val="single" w:color="4A1C6E" w:sz="2"/>
              <w:right w:val="single" w:color="4A1C6E" w:sz="2"/>
            </w:tcBorders>
            <w:shd w:fill="4A1C6E" w:val="clear"/>
            <w:tcMar>
              <w:top w:type="dxa" w:w="60"/>
              <w:left w:type="dxa" w:w="100"/>
              <w:bottom w:type="dxa" w:w="60"/>
              <w:right w:type="dxa" w:w="100"/>
            </w:tcMar>
          </w:tcPr>
          <w:p>
            <w:r>
              <w:rPr>
                <w:rFonts w:ascii="Calibri" w:cs="Calibri" w:eastAsia="Calibri" w:hAnsi="Calibri"/>
                <w:b/>
                <w:bCs/>
                <w:color w:val="FFFFFF"/>
                <w:sz w:val="19"/>
                <w:szCs w:val="19"/>
              </w:rPr>
              <w:t xml:space="preserve">Status</w:t>
            </w:r>
          </w:p>
        </w:tc>
      </w:tr>
      <w:tr>
        <w:tc>
          <w:tcPr>
            <w:tcW w:type="dxa" w:w="504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sz w:val="19"/>
                <w:szCs w:val="19"/>
              </w:rPr>
              <w:t xml:space="preserve">IPR 2 — Spin 1 Testing Review</w:t>
            </w:r>
          </w:p>
        </w:tc>
        <w:tc>
          <w:tcPr>
            <w:tcW w:type="dxa" w:w="216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sz w:val="19"/>
                <w:szCs w:val="19"/>
              </w:rPr>
              <w:t xml:space="preserve">15 Mar 2025</w:t>
            </w:r>
          </w:p>
        </w:tc>
        <w:tc>
          <w:tcPr>
            <w:tcW w:type="dxa" w:w="216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sz w:val="19"/>
                <w:szCs w:val="19"/>
              </w:rPr>
              <w:t xml:space="preserve">Conducted 18 Mar 2025 (3 days late)</w:t>
            </w:r>
          </w:p>
        </w:tc>
      </w:tr>
      <w:tr>
        <w:tc>
          <w:tcPr>
            <w:tcW w:type="dxa" w:w="50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Spin 1 Erection Test</w:t>
            </w:r>
          </w:p>
        </w:tc>
        <w:tc>
          <w:tcPr>
            <w:tcW w:type="dxa" w:w="2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13-14 Mar 2025</w:t>
            </w:r>
          </w:p>
        </w:tc>
        <w:tc>
          <w:tcPr>
            <w:tcW w:type="dxa" w:w="2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Complete — 41 min best time (req: 30 min)</w:t>
            </w:r>
          </w:p>
        </w:tc>
      </w:tr>
      <w:tr>
        <w:tc>
          <w:tcPr>
            <w:tcW w:type="dxa" w:w="504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sz w:val="19"/>
                <w:szCs w:val="19"/>
              </w:rPr>
              <w:t xml:space="preserve">First Production Unit Fabrication</w:t>
            </w:r>
          </w:p>
        </w:tc>
        <w:tc>
          <w:tcPr>
            <w:tcW w:type="dxa" w:w="216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sz w:val="19"/>
                <w:szCs w:val="19"/>
              </w:rPr>
              <w:t xml:space="preserve">31 Mar 2025</w:t>
            </w:r>
          </w:p>
        </w:tc>
        <w:tc>
          <w:tcPr>
            <w:tcW w:type="dxa" w:w="216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sz w:val="19"/>
                <w:szCs w:val="19"/>
              </w:rPr>
              <w:t xml:space="preserve">Complete</w:t>
            </w:r>
          </w:p>
        </w:tc>
      </w:tr>
      <w:tr>
        <w:tc>
          <w:tcPr>
            <w:tcW w:type="dxa" w:w="50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Panel Sets Received from Chromatic</w:t>
            </w:r>
          </w:p>
        </w:tc>
        <w:tc>
          <w:tcPr>
            <w:tcW w:type="dxa" w:w="2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28 Mar 2025</w:t>
            </w:r>
          </w:p>
        </w:tc>
        <w:tc>
          <w:tcPr>
            <w:tcW w:type="dxa" w:w="2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Received 28 Mar 2025</w:t>
            </w:r>
          </w:p>
        </w:tc>
      </w:tr>
      <w:tr>
        <w:tc>
          <w:tcPr>
            <w:tcW w:type="dxa" w:w="504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sz w:val="19"/>
                <w:szCs w:val="19"/>
              </w:rPr>
              <w:t xml:space="preserve">Govt Comment Letter Received</w:t>
            </w:r>
          </w:p>
        </w:tc>
        <w:tc>
          <w:tcPr>
            <w:tcW w:type="dxa" w:w="216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sz w:val="19"/>
                <w:szCs w:val="19"/>
              </w:rPr>
              <w:t xml:space="preserve">14 Mar 2025</w:t>
            </w:r>
          </w:p>
        </w:tc>
        <w:tc>
          <w:tcPr>
            <w:tcW w:type="dxa" w:w="216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sz w:val="19"/>
                <w:szCs w:val="19"/>
              </w:rPr>
              <w:t xml:space="preserve">Received — response in preparation</w:t>
            </w:r>
          </w:p>
        </w:tc>
      </w:tr>
      <w:tr>
        <w:tc>
          <w:tcPr>
            <w:tcW w:type="dxa" w:w="50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First Production Delivery (CDRL A007)</w:t>
            </w:r>
          </w:p>
        </w:tc>
        <w:tc>
          <w:tcPr>
            <w:tcW w:type="dxa" w:w="2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15 Apr 2025</w:t>
            </w:r>
          </w:p>
        </w:tc>
        <w:tc>
          <w:tcPr>
            <w:tcW w:type="dxa" w:w="2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Under assessment</w:t>
            </w:r>
          </w:p>
        </w:tc>
      </w:tr>
      <w:tr>
        <w:tc>
          <w:tcPr>
            <w:tcW w:type="dxa" w:w="504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sz w:val="19"/>
                <w:szCs w:val="19"/>
              </w:rPr>
              <w:t xml:space="preserve">Initial Demonstration (CDRL A008)</w:t>
            </w:r>
          </w:p>
        </w:tc>
        <w:tc>
          <w:tcPr>
            <w:tcW w:type="dxa" w:w="216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sz w:val="19"/>
                <w:szCs w:val="19"/>
              </w:rPr>
              <w:t xml:space="preserve">15 May 2025</w:t>
            </w:r>
          </w:p>
        </w:tc>
        <w:tc>
          <w:tcPr>
            <w:tcW w:type="dxa" w:w="216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sz w:val="19"/>
                <w:szCs w:val="19"/>
              </w:rPr>
              <w:t xml:space="preserve">Planned</w:t>
            </w:r>
          </w:p>
        </w:tc>
      </w:tr>
    </w:tbl>
    <w:p>
      <w:pPr>
        <w:spacing w:after="40" w:before="40"/>
      </w:pPr>
      <w:r>
        <w:t xml:space="preserve"/>
      </w:r>
    </w:p>
    <w:p>
      <w:pPr>
        <w:pBdr>
          <w:bottom w:val="single" w:color="C8A8E8" w:sz="2" w:space="1"/>
        </w:pBdr>
        <w:spacing w:after="80" w:before="200"/>
      </w:pPr>
      <w:r>
        <w:rPr>
          <w:rFonts w:ascii="Calibri" w:cs="Calibri" w:eastAsia="Calibri" w:hAnsi="Calibri"/>
          <w:b/>
          <w:bCs/>
          <w:color w:val="4A1C6E"/>
          <w:sz w:val="22"/>
          <w:szCs w:val="22"/>
        </w:rPr>
        <w:t xml:space="preserve">3. Financial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4A1C6E" w:sz="2"/>
              <w:left w:val="single" w:color="4A1C6E" w:sz="2"/>
              <w:bottom w:val="single" w:color="4A1C6E" w:sz="2"/>
              <w:right w:val="single" w:color="4A1C6E" w:sz="2"/>
            </w:tcBorders>
            <w:shd w:fill="4A1C6E" w:val="clear"/>
            <w:tcMar>
              <w:top w:type="dxa" w:w="60"/>
              <w:left w:type="dxa" w:w="100"/>
              <w:bottom w:type="dxa" w:w="60"/>
              <w:right w:type="dxa" w:w="100"/>
            </w:tcMar>
          </w:tcPr>
          <w:p>
            <w:r>
              <w:rPr>
                <w:rFonts w:ascii="Calibri" w:cs="Calibri" w:eastAsia="Calibri" w:hAnsi="Calibri"/>
                <w:b/>
                <w:bCs/>
                <w:color w:val="FFFFFF"/>
                <w:sz w:val="19"/>
                <w:szCs w:val="19"/>
              </w:rPr>
              <w:t xml:space="preserve">Item</w:t>
            </w:r>
          </w:p>
        </w:tc>
        <w:tc>
          <w:tcPr>
            <w:tcW w:type="dxa" w:w="4680"/>
            <w:tcBorders>
              <w:top w:val="single" w:color="4A1C6E" w:sz="2"/>
              <w:left w:val="single" w:color="4A1C6E" w:sz="2"/>
              <w:bottom w:val="single" w:color="4A1C6E" w:sz="2"/>
              <w:right w:val="single" w:color="4A1C6E" w:sz="2"/>
            </w:tcBorders>
            <w:shd w:fill="4A1C6E" w:val="clear"/>
            <w:tcMar>
              <w:top w:type="dxa" w:w="60"/>
              <w:left w:type="dxa" w:w="100"/>
              <w:bottom w:type="dxa" w:w="60"/>
              <w:right w:type="dxa" w:w="100"/>
            </w:tcMar>
          </w:tcPr>
          <w:p>
            <w:r>
              <w:rPr>
                <w:rFonts w:ascii="Calibri" w:cs="Calibri" w:eastAsia="Calibri" w:hAnsi="Calibri"/>
                <w:b/>
                <w:bCs/>
                <w:color w:val="FFFFFF"/>
                <w:sz w:val="19"/>
                <w:szCs w:val="19"/>
              </w:rPr>
              <w:t xml:space="preserve">Amount / Status</w:t>
            </w:r>
          </w:p>
        </w:tc>
      </w:tr>
      <w:tr>
        <w:tc>
          <w:tcPr>
            <w:tcW w:type="dxa" w:w="468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b/>
                <w:bCs/>
                <w:sz w:val="19"/>
                <w:szCs w:val="19"/>
              </w:rPr>
              <w:t xml:space="preserve">Expenditures This Period</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$334,180.00</w:t>
            </w:r>
          </w:p>
        </w:tc>
      </w:tr>
      <w:tr>
        <w:tc>
          <w:tcPr>
            <w:tcW w:type="dxa" w:w="468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b/>
                <w:bCs/>
                <w:sz w:val="19"/>
                <w:szCs w:val="19"/>
              </w:rPr>
              <w:t xml:space="preserve">Cumulative Expenditures to Date</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$1,274,550.00</w:t>
            </w:r>
          </w:p>
        </w:tc>
      </w:tr>
      <w:tr>
        <w:tc>
          <w:tcPr>
            <w:tcW w:type="dxa" w:w="468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b/>
                <w:bCs/>
                <w:sz w:val="19"/>
                <w:szCs w:val="19"/>
              </w:rPr>
              <w:t xml:space="preserve">Contract Ceiling (Base Year Labor + ODC)</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$2,847,300.00 (Base Year)</w:t>
            </w:r>
          </w:p>
        </w:tc>
      </w:tr>
      <w:tr>
        <w:tc>
          <w:tcPr>
            <w:tcW w:type="dxa" w:w="468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b/>
                <w:bCs/>
                <w:sz w:val="19"/>
                <w:szCs w:val="19"/>
              </w:rPr>
              <w:t xml:space="preserve">% of Base Year Ceiling Expended</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44.8%</w:t>
            </w:r>
          </w:p>
        </w:tc>
      </w:tr>
    </w:tbl>
    <w:p>
      <w:pPr>
        <w:spacing w:after="40" w:before="40"/>
      </w:pPr>
      <w:r>
        <w:t xml:space="preserve"/>
      </w:r>
    </w:p>
    <w:p>
      <w:pPr>
        <w:pBdr>
          <w:bottom w:val="single" w:color="C8A8E8" w:sz="2" w:space="1"/>
        </w:pBdr>
        <w:spacing w:after="80" w:before="200"/>
      </w:pPr>
      <w:r>
        <w:rPr>
          <w:rFonts w:ascii="Calibri" w:cs="Calibri" w:eastAsia="Calibri" w:hAnsi="Calibri"/>
          <w:b/>
          <w:bCs/>
          <w:color w:val="4A1C6E"/>
          <w:sz w:val="22"/>
          <w:szCs w:val="22"/>
        </w:rPr>
        <w:t xml:space="preserve">4. Issues and Risks</w:t>
      </w:r>
    </w:p>
    <w:p>
      <w:pPr>
        <w:spacing w:after="80" w:before="60"/>
      </w:pPr>
      <w:r>
        <w:rPr>
          <w:rFonts w:ascii="Calibri" w:cs="Calibri" w:eastAsia="Calibri" w:hAnsi="Calibri"/>
          <w:sz w:val="21"/>
          <w:szCs w:val="21"/>
        </w:rPr>
        <w:t xml:space="preserve">Risk 5 (ESCALATED, High / High): Spin 1 erection test results of 41 minutes (best time) against a 30-minute requirement represent an 11-minute gap. Vertex's position is that trained crew performance will close this gap. The Government comment letter of 14 March 2025 does not accept this position. Vertex is evaluating whether assembly procedure improvements alone are sufficient or whether structural/hardware design changes are needed to reduce erection time.</w:t>
      </w:r>
    </w:p>
    <w:p>
      <w:pPr>
        <w:spacing w:after="40" w:before="40"/>
      </w:pPr>
      <w:r>
        <w:t xml:space="preserve"/>
      </w:r>
    </w:p>
    <w:p>
      <w:pPr>
        <w:spacing w:after="80" w:before="60"/>
      </w:pPr>
      <w:r>
        <w:rPr>
          <w:rFonts w:ascii="Calibri" w:cs="Calibri" w:eastAsia="Calibri" w:hAnsi="Calibri"/>
          <w:sz w:val="21"/>
          <w:szCs w:val="21"/>
        </w:rPr>
        <w:t xml:space="preserve">Risk 6 (NEW, Medium / Medium): Tropical side panel seam misalignment at 3 junctions on Spin 1 prototype. Production panels have been received but incoming inspection for seam alignment is ongoing. Government has requested formal seam gap measurement characterization.</w:t>
      </w:r>
    </w:p>
    <w:p>
      <w:pPr>
        <w:spacing w:after="40" w:before="40"/>
      </w:pPr>
      <w:r>
        <w:t xml:space="preserve"/>
      </w:r>
    </w:p>
    <w:p>
      <w:pPr>
        <w:spacing w:after="80" w:before="60"/>
      </w:pPr>
      <w:r>
        <w:rPr>
          <w:rFonts w:ascii="Calibri" w:cs="Calibri" w:eastAsia="Calibri" w:hAnsi="Calibri"/>
          <w:sz w:val="21"/>
          <w:szCs w:val="21"/>
        </w:rPr>
        <w:t xml:space="preserve">Risk 7 (NEW, Medium / Medium): First production delivery (CDRL A007) of 15 April 2025 is 17 days away. The Government comment letter raises questions that may affect delivery acceptance. Vertex will assess whether delivery should proceed on schedule or whether the erection time and seam alignment items should be resolved first.</w:t>
      </w:r>
    </w:p>
    <w:p>
      <w:pPr>
        <w:pBdr>
          <w:bottom w:val="single" w:color="C8A8E8" w:sz="2" w:space="1"/>
        </w:pBdr>
        <w:spacing w:after="80" w:before="200"/>
      </w:pPr>
      <w:r>
        <w:rPr>
          <w:rFonts w:ascii="Calibri" w:cs="Calibri" w:eastAsia="Calibri" w:hAnsi="Calibri"/>
          <w:b/>
          <w:bCs/>
          <w:color w:val="4A1C6E"/>
          <w:sz w:val="22"/>
          <w:szCs w:val="22"/>
        </w:rPr>
        <w:t xml:space="preserve">5. Meetings and Correspondence</w:t>
      </w:r>
    </w:p>
    <w:p>
      <w:pPr>
        <w:spacing w:after="80" w:before="60"/>
      </w:pPr>
      <w:r>
        <w:rPr>
          <w:rFonts w:ascii="Calibri" w:cs="Calibri" w:eastAsia="Calibri" w:hAnsi="Calibri"/>
          <w:sz w:val="21"/>
          <w:szCs w:val="21"/>
        </w:rPr>
        <w:t xml:space="preserve">IPR 2: 18 March 2025, Vertex Huntsville / NRL VTC. Government comment letter received 14 March 2025 (4 items).</w:t>
      </w:r>
    </w:p>
    <w:p>
      <w:pPr>
        <w:spacing w:after="40" w:before="40"/>
      </w:pPr>
      <w:r>
        <w:t xml:space="preserve"/>
      </w:r>
    </w:p>
    <w:p>
      <w:pPr>
        <w:spacing w:after="80" w:before="60"/>
      </w:pPr>
      <w:r>
        <w:rPr>
          <w:rFonts w:ascii="Calibri" w:cs="Calibri" w:eastAsia="Calibri" w:hAnsi="Calibri"/>
          <w:sz w:val="21"/>
          <w:szCs w:val="21"/>
        </w:rPr>
        <w:t xml:space="preserve">Note: Vertex written response to Government IPR 1 comment letter (submitted 19 February 2025) — Government acknowledgment not yet received as of 16 April 2025 (report submission date). Item 4 from the original IPR 1 comment letter (erection time verification plan) is now also addressed in the 14 March letter; Vertex will respond to both in a consolidated response.</w:t>
      </w:r>
    </w:p>
    <w:p>
      <w:pPr>
        <w:spacing w:after="40" w:before="40"/>
      </w:pPr>
      <w:r>
        <w:t xml:space="preserve"/>
      </w:r>
    </w:p>
    <w:p>
      <w:pPr>
        <w:spacing w:after="80" w:before="60"/>
      </w:pPr>
      <w:r>
        <w:rPr>
          <w:rFonts w:ascii="Calibri" w:cs="Calibri" w:eastAsia="Calibri" w:hAnsi="Calibri"/>
          <w:sz w:val="21"/>
          <w:szCs w:val="21"/>
        </w:rPr>
        <w:t xml:space="preserve">Note: Month 6 progress report (this report) submitted 16 April 2025.</w:t>
      </w:r>
    </w:p>
    <w:p>
      <w:pPr>
        <w:pBdr>
          <w:bottom w:val="single" w:color="C8A8E8" w:sz="2" w:space="1"/>
        </w:pBdr>
        <w:spacing w:after="80" w:before="200"/>
      </w:pPr>
      <w:r>
        <w:rPr>
          <w:rFonts w:ascii="Calibri" w:cs="Calibri" w:eastAsia="Calibri" w:hAnsi="Calibri"/>
          <w:b/>
          <w:bCs/>
          <w:color w:val="4A1C6E"/>
          <w:sz w:val="22"/>
          <w:szCs w:val="22"/>
        </w:rPr>
        <w:t xml:space="preserve">6. Plans for Next Month</w:t>
      </w:r>
    </w:p>
    <w:p>
      <w:pPr>
        <w:spacing w:after="80" w:before="60"/>
      </w:pPr>
      <w:r>
        <w:rPr>
          <w:rFonts w:ascii="Calibri" w:cs="Calibri" w:eastAsia="Calibri" w:hAnsi="Calibri"/>
          <w:sz w:val="21"/>
          <w:szCs w:val="21"/>
        </w:rPr>
        <w:t xml:space="preserve">Provide written response to Government 14 March comment letter; complete incoming inspection of production panel sets; deliver first production X-Hangar systems (CDRL A007) to Government; finalize erection assembly manual with color-coded pole marking; coordinate Initial Demonstration (CDRL A008) logistics with NRL.</w:t>
      </w:r>
    </w:p>
    <w:p>
      <w:pPr>
        <w:pBdr>
          <w:top w:val="single" w:color="C8A8E8" w:sz="2" w:space="1"/>
        </w:pBdr>
        <w:spacing w:before="240"/>
        <w:jc w:val="center"/>
      </w:pPr>
      <w:r>
        <w:rPr>
          <w:rFonts w:ascii="Calibri" w:cs="Calibri" w:eastAsia="Calibri" w:hAnsi="Calibri"/>
          <w:color w:val="888888"/>
          <w:sz w:val="17"/>
          <w:szCs w:val="17"/>
        </w:rPr>
        <w:t xml:space="preserve">N0017325RDH03  |  Vertex Shelter Systems, Inc.  |  Month 6 of 12  |  01 March 2025 – 31 March 2025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2026-04-26T18:24:19.964Z</dcterms:created>
  <dcterms:modified xsi:type="dcterms:W3CDTF">2026-04-26T18:24:19.964Z</dcterms:modified>
</cp:coreProperties>
</file>

<file path=docProps/custom.xml><?xml version="1.0" encoding="utf-8"?>
<Properties xmlns="http://schemas.openxmlformats.org/officeDocument/2006/custom-properties" xmlns:vt="http://schemas.openxmlformats.org/officeDocument/2006/docPropsVTypes"/>
</file>