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A3A5C"/>
          <w:sz w:val="30"/>
          <w:szCs w:val="30"/>
        </w:rPr>
        <w:t xml:space="preserve">INTEGRATED PROGRAM MANAGEMENT DATA AND ANALYSIS REPORT (IPMDAR)</w:t>
      </w:r>
    </w:p>
    <w:p>
      <w:pPr>
        <w:spacing w:after="60" w:before="0"/>
        <w:jc w:val="center"/>
      </w:pPr>
      <w:r>
        <w:rPr>
          <w:rFonts w:ascii="Arial" w:cs="Arial" w:eastAsia="Arial" w:hAnsi="Arial"/>
          <w:b/>
          <w:bCs/>
          <w:color w:val="2B5F8C"/>
          <w:sz w:val="24"/>
          <w:szCs w:val="24"/>
        </w:rPr>
        <w:t xml:space="preserve">Performance Narrative Report (Format 5)</w:t>
      </w:r>
    </w:p>
    <w:p>
      <w:pPr>
        <w:spacing w:after="240" w:before="0"/>
        <w:jc w:val="center"/>
      </w:pPr>
      <w:r>
        <w:rPr>
          <w:rFonts w:ascii="Arial" w:cs="Arial" w:eastAsia="Arial" w:hAnsi="Arial"/>
          <w:color w:val="555555"/>
          <w:sz w:val="22"/>
          <w:szCs w:val="22"/>
        </w:rPr>
        <w:t xml:space="preserve">Submission 2 of 3 — Data Date: 31 July 2025</w:t>
      </w:r>
    </w:p>
    <w:p>
      <w:pPr>
        <w:pStyle w:val="Heading1"/>
        <w:spacing w:after="120" w:before="240"/>
      </w:pPr>
      <w:r>
        <w:rPr>
          <w:rFonts w:ascii="Arial" w:cs="Arial" w:eastAsia="Arial" w:hAnsi="Arial"/>
          <w:b/>
          <w:bCs/>
          <w:color w:val="1A3A5C"/>
          <w:sz w:val="26"/>
          <w:szCs w:val="26"/>
        </w:rPr>
        <w:t xml:space="preserve">Format 1: Contract Data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Contract Number</w:t>
            </w:r>
          </w:p>
        </w:tc>
        <w:tc>
          <w:tcPr>
            <w:tcW w:type="dxa" w:w="62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N00173-25-C-XXXX</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Contractor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Apex Systems Engineering, Inc.</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Data Date</w:t>
            </w:r>
          </w:p>
        </w:tc>
        <w:tc>
          <w:tcPr>
            <w:tcW w:type="dxa" w:w="62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31 July 2025</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Reporting Period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 July 2025 – 31 July 2025 (Base Year, Month 10)</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Original PoP</w:t>
            </w:r>
          </w:p>
        </w:tc>
        <w:tc>
          <w:tcPr>
            <w:tcW w:type="dxa" w:w="62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01 October 2024 – 30 September 2025</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Current PoP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 October 2024 – 30 September 2025 (PoP extension modification pending — submitted 25 July 2025)</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Contract Budget Base (CBB)</w:t>
            </w:r>
          </w:p>
        </w:tc>
        <w:tc>
          <w:tcPr>
            <w:tcW w:type="dxa" w:w="62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$8,450,000</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BCWS (Cumulative)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$4,510,000</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BCWP (Cumulative)</w:t>
            </w:r>
          </w:p>
        </w:tc>
        <w:tc>
          <w:tcPr>
            <w:tcW w:type="dxa" w:w="62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$4,050,000</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ACWP (Cumulative)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$4,142,490</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Cost Variance (CV)</w:t>
            </w:r>
          </w:p>
        </w:tc>
        <w:tc>
          <w:tcPr>
            <w:tcW w:type="dxa" w:w="62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-$92,490 (-2.3%) — Elevated but within acceptable range</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Schedule Variance (SV)</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-$460,000 (-10.2%) — GFI delay-driven; Government-caused</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CPI (Cumulative)</w:t>
            </w:r>
          </w:p>
        </w:tc>
        <w:tc>
          <w:tcPr>
            <w:tcW w:type="dxa" w:w="62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0.978 — Acceptable</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SPI (Cumulative)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0.898 — Reflects Government-caused GFI delay; non-contractor variance</w:t>
            </w:r>
          </w:p>
        </w:tc>
      </w:tr>
    </w:tbl>
    <w:p>
      <w:pPr>
        <w:spacing w:after="60" w:before="60"/>
      </w:pPr>
      <w:r>
        <w:t xml:space="preserve"/>
      </w:r>
    </w:p>
    <w:p>
      <w:pPr>
        <w:pStyle w:val="Heading1"/>
        <w:spacing w:after="120" w:before="240"/>
      </w:pPr>
      <w:r>
        <w:rPr>
          <w:rFonts w:ascii="Arial" w:cs="Arial" w:eastAsia="Arial" w:hAnsi="Arial"/>
          <w:b/>
          <w:bCs/>
          <w:color w:val="1A3A5C"/>
          <w:sz w:val="26"/>
          <w:szCs w:val="26"/>
        </w:rPr>
        <w:t xml:space="preserve">Format 2: WBS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1400"/>
        <w:gridCol w:w="1360"/>
      </w:tblGrid>
      <w:tr>
        <w:tc>
          <w:tcPr>
            <w:tcW w:type="dxa" w:w="28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Task Area</w:t>
            </w:r>
          </w:p>
        </w:tc>
        <w:tc>
          <w:tcPr>
            <w:tcW w:type="dxa" w:w="14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BCWS ($K)</w:t>
            </w:r>
          </w:p>
        </w:tc>
        <w:tc>
          <w:tcPr>
            <w:tcW w:type="dxa" w:w="14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BCWP ($K)</w:t>
            </w:r>
          </w:p>
        </w:tc>
        <w:tc>
          <w:tcPr>
            <w:tcW w:type="dxa" w:w="14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ACWP ($K)</w:t>
            </w:r>
          </w:p>
        </w:tc>
        <w:tc>
          <w:tcPr>
            <w:tcW w:type="dxa" w:w="14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SV ($K)</w:t>
            </w:r>
          </w:p>
        </w:tc>
        <w:tc>
          <w:tcPr>
            <w:tcW w:type="dxa" w:w="136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TA-1: System Architecture</w:t>
            </w:r>
          </w:p>
        </w:tc>
        <w:tc>
          <w:tcPr>
            <w:tcW w:type="dxa" w:w="1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1,210</w:t>
            </w:r>
          </w:p>
        </w:tc>
        <w:tc>
          <w:tcPr>
            <w:tcW w:type="dxa" w:w="1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1,210</w:t>
            </w:r>
          </w:p>
        </w:tc>
        <w:tc>
          <w:tcPr>
            <w:tcW w:type="dxa" w:w="1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1,228</w:t>
            </w:r>
          </w:p>
        </w:tc>
        <w:tc>
          <w:tcPr>
            <w:tcW w:type="dxa" w:w="1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0</w:t>
            </w:r>
          </w:p>
        </w:tc>
        <w:tc>
          <w:tcPr>
            <w:tcW w:type="dxa" w:w="13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TA-2: RF Sensor Integration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788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plan</w:t>
            </w:r>
          </w:p>
        </w:tc>
      </w:tr>
      <w:tr>
        <w:tc>
          <w:tcPr>
            <w:tcW w:type="dxa" w:w="2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TA-3: Ground System Interface</w:t>
            </w:r>
          </w:p>
        </w:tc>
        <w:tc>
          <w:tcPr>
            <w:tcW w:type="dxa" w:w="1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640</w:t>
            </w:r>
          </w:p>
        </w:tc>
        <w:tc>
          <w:tcPr>
            <w:tcW w:type="dxa" w:w="1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640</w:t>
            </w:r>
          </w:p>
        </w:tc>
        <w:tc>
          <w:tcPr>
            <w:tcW w:type="dxa" w:w="1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635</w:t>
            </w:r>
          </w:p>
        </w:tc>
        <w:tc>
          <w:tcPr>
            <w:tcW w:type="dxa" w:w="1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0</w:t>
            </w:r>
          </w:p>
        </w:tc>
        <w:tc>
          <w:tcPr>
            <w:tcW w:type="dxa" w:w="13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TA-4: Prototype Development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992</w:t>
            </w:r>
          </w:p>
        </w:tc>
        <w:tc>
          <w:tcPr>
            <w:tcW w:type="dxa" w:w="14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20"/>
                <w:szCs w:val="20"/>
              </w:rPr>
              <w:t xml:space="preserve">-500</w:t>
            </w:r>
          </w:p>
        </w:tc>
        <w:tc>
          <w:tcPr>
            <w:tcW w:type="dxa" w:w="13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20"/>
                <w:szCs w:val="20"/>
              </w:rPr>
              <w:t xml:space="preserve">GFI delay</w:t>
            </w:r>
          </w:p>
        </w:tc>
      </w:tr>
      <w:tr>
        <w:tc>
          <w:tcPr>
            <w:tcW w:type="dxa" w:w="2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TA-5: System Test</w:t>
            </w:r>
          </w:p>
        </w:tc>
        <w:tc>
          <w:tcPr>
            <w:tcW w:type="dxa" w:w="1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280</w:t>
            </w:r>
          </w:p>
        </w:tc>
        <w:tc>
          <w:tcPr>
            <w:tcW w:type="dxa" w:w="1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320</w:t>
            </w:r>
          </w:p>
        </w:tc>
        <w:tc>
          <w:tcPr>
            <w:tcW w:type="dxa" w:w="1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318</w:t>
            </w:r>
          </w:p>
        </w:tc>
        <w:tc>
          <w:tcPr>
            <w:tcW w:type="dxa" w:w="14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+40</w:t>
            </w:r>
          </w:p>
        </w:tc>
        <w:tc>
          <w:tcPr>
            <w:tcW w:type="dxa" w:w="13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Ahead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ODCs / Subcontract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plan</w:t>
            </w:r>
          </w:p>
        </w:tc>
      </w:tr>
      <w:tr>
        <w:tc>
          <w:tcPr>
            <w:tcW w:type="dxa" w:w="28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TOTAL</w:t>
            </w:r>
          </w:p>
        </w:tc>
        <w:tc>
          <w:tcPr>
            <w:tcW w:type="dxa" w:w="14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sz w:val="20"/>
                <w:szCs w:val="20"/>
              </w:rPr>
              <w:t xml:space="preserve">4,510</w:t>
            </w:r>
          </w:p>
        </w:tc>
        <w:tc>
          <w:tcPr>
            <w:tcW w:type="dxa" w:w="14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sz w:val="20"/>
                <w:szCs w:val="20"/>
              </w:rPr>
              <w:t xml:space="preserve">4,050</w:t>
            </w:r>
          </w:p>
        </w:tc>
        <w:tc>
          <w:tcPr>
            <w:tcW w:type="dxa" w:w="14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sz w:val="20"/>
                <w:szCs w:val="20"/>
              </w:rPr>
              <w:t xml:space="preserve">4,142</w:t>
            </w:r>
          </w:p>
        </w:tc>
        <w:tc>
          <w:tcPr>
            <w:tcW w:type="dxa" w:w="14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20"/>
                <w:szCs w:val="20"/>
              </w:rPr>
              <w:t xml:space="preserve">-460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60" w:before="60"/>
      </w:pPr>
      <w:r>
        <w:t xml:space="preserve"/>
      </w:r>
    </w:p>
    <w:p>
      <w:pPr>
        <w:pStyle w:val="Heading1"/>
        <w:spacing w:after="120" w:before="240"/>
      </w:pPr>
      <w:r>
        <w:rPr>
          <w:rFonts w:ascii="Arial" w:cs="Arial" w:eastAsia="Arial" w:hAnsi="Arial"/>
          <w:b/>
          <w:bCs/>
          <w:color w:val="1A3A5C"/>
          <w:sz w:val="26"/>
          <w:szCs w:val="26"/>
        </w:rPr>
        <w:t xml:space="preserve">Format 3: Baseline Log /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2400"/>
        <w:gridCol w:w="3600"/>
      </w:tblGrid>
      <w:tr>
        <w:tc>
          <w:tcPr>
            <w:tcW w:type="dxa" w:w="156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18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Mod No.</w:t>
            </w:r>
          </w:p>
        </w:tc>
        <w:tc>
          <w:tcPr>
            <w:tcW w:type="dxa" w:w="24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6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18 Dec 2024</w:t>
            </w:r>
          </w:p>
        </w:tc>
        <w:tc>
          <w:tcPr>
            <w:tcW w:type="dxa" w:w="1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N/A</w:t>
            </w:r>
          </w:p>
        </w:tc>
        <w:tc>
          <w:tcPr>
            <w:tcW w:type="dxa" w:w="2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Internal (PMB Baseline)</w:t>
            </w:r>
          </w:p>
        </w:tc>
        <w:tc>
          <w:tcPr>
            <w:tcW w:type="dxa" w:w="36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CWBS approved; PMB established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 Mar 2025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Re-plan (MR)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TA-1 scope replan; Lead SE departure mitigation — RESOLVED</w:t>
            </w:r>
          </w:p>
        </w:tc>
      </w:tr>
      <w:tr>
        <w:tc>
          <w:tcPr>
            <w:tcW w:type="dxa" w:w="15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18 Jul 2025</w:t>
            </w:r>
          </w:p>
        </w:tc>
        <w:tc>
          <w:tcPr>
            <w:tcW w:type="dxa" w:w="1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Pending P00001</w:t>
            </w:r>
          </w:p>
        </w:tc>
        <w:tc>
          <w:tcPr>
            <w:tcW w:type="dxa" w:w="2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Contract Mod — PoP Extension</w:t>
            </w:r>
          </w:p>
        </w:tc>
        <w:tc>
          <w:tcPr>
            <w:tcW w:type="dxa" w:w="36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90-day no-cost extension requested; Government-caused GFI delay (GFI Item 3, received 60+ days late). Modification submitted to CO/ACO 25 July 2025. Pending execution.</w:t>
            </w:r>
          </w:p>
        </w:tc>
      </w:tr>
    </w:tbl>
    <w:p>
      <w:pPr>
        <w:spacing w:after="60" w:before="60"/>
      </w:pPr>
      <w:r>
        <w:t xml:space="preserve"/>
      </w:r>
    </w:p>
    <w:p>
      <w:pPr>
        <w:pStyle w:val="Heading1"/>
        <w:spacing w:after="120" w:before="240"/>
      </w:pPr>
      <w:r>
        <w:rPr>
          <w:rFonts w:ascii="Arial" w:cs="Arial" w:eastAsia="Arial" w:hAnsi="Arial"/>
          <w:b/>
          <w:bCs/>
          <w:color w:val="1A3A5C"/>
          <w:sz w:val="26"/>
          <w:szCs w:val="26"/>
        </w:rPr>
        <w:t xml:space="preserve">Format 4: Staffing Plan vs. Actual</w:t>
      </w:r>
    </w:p>
    <w:p>
      <w:pPr>
        <w:spacing w:after="100" w:before="80"/>
      </w:pPr>
      <w:r>
        <w:rPr>
          <w:rFonts w:ascii="Arial" w:cs="Arial" w:eastAsia="Arial" w:hAnsi="Arial"/>
          <w:sz w:val="22"/>
          <w:szCs w:val="22"/>
        </w:rPr>
        <w:t xml:space="preserve">Staffing is fully recovered from the Month 5 event. All key personnel positions are filled. Mr. James Tanner (Principal Systems Engineer) has been on contract since 14 April 2025 and is performing at full productivity.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Labor Category</w:t>
            </w:r>
          </w:p>
        </w:tc>
        <w:tc>
          <w:tcPr>
            <w:tcW w:type="dxa" w:w="164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Planned FTEs</w:t>
            </w:r>
          </w:p>
        </w:tc>
        <w:tc>
          <w:tcPr>
            <w:tcW w:type="dxa" w:w="164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Actual FTEs</w:t>
            </w:r>
          </w:p>
        </w:tc>
        <w:tc>
          <w:tcPr>
            <w:tcW w:type="dxa" w:w="164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Variance</w:t>
            </w:r>
          </w:p>
        </w:tc>
        <w:tc>
          <w:tcPr>
            <w:tcW w:type="dxa" w:w="164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Principal Systems Engineer</w:t>
            </w:r>
          </w:p>
        </w:tc>
        <w:tc>
          <w:tcPr>
            <w:tcW w:type="dxa" w:w="16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1.0</w:t>
            </w:r>
          </w:p>
        </w:tc>
        <w:tc>
          <w:tcPr>
            <w:tcW w:type="dxa" w:w="16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1.0</w:t>
            </w:r>
          </w:p>
        </w:tc>
        <w:tc>
          <w:tcPr>
            <w:tcW w:type="dxa" w:w="16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0</w:t>
            </w:r>
          </w:p>
        </w:tc>
        <w:tc>
          <w:tcPr>
            <w:tcW w:type="dxa" w:w="16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Fully staffed — Mr. Tanner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Senior Systems Engineer</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 Nair returned to TA-3</w:t>
            </w:r>
          </w:p>
        </w:tc>
      </w:tr>
      <w:tr>
        <w:tc>
          <w:tcPr>
            <w:tcW w:type="dxa" w:w="2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RF/Sensor Engineer</w:t>
            </w:r>
          </w:p>
        </w:tc>
        <w:tc>
          <w:tcPr>
            <w:tcW w:type="dxa" w:w="16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2.0</w:t>
            </w:r>
          </w:p>
        </w:tc>
        <w:tc>
          <w:tcPr>
            <w:tcW w:type="dxa" w:w="16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2.0</w:t>
            </w:r>
          </w:p>
        </w:tc>
        <w:tc>
          <w:tcPr>
            <w:tcW w:type="dxa" w:w="16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0</w:t>
            </w:r>
          </w:p>
        </w:tc>
        <w:tc>
          <w:tcPr>
            <w:tcW w:type="dxa" w:w="16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On plan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Software Engineer</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plan</w:t>
            </w:r>
          </w:p>
        </w:tc>
      </w:tr>
      <w:tr>
        <w:tc>
          <w:tcPr>
            <w:tcW w:type="dxa" w:w="2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Test Engineer</w:t>
            </w:r>
          </w:p>
        </w:tc>
        <w:tc>
          <w:tcPr>
            <w:tcW w:type="dxa" w:w="16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1.0</w:t>
            </w:r>
          </w:p>
        </w:tc>
        <w:tc>
          <w:tcPr>
            <w:tcW w:type="dxa" w:w="16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1.0</w:t>
            </w:r>
          </w:p>
        </w:tc>
        <w:tc>
          <w:tcPr>
            <w:tcW w:type="dxa" w:w="16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0</w:t>
            </w:r>
          </w:p>
        </w:tc>
        <w:tc>
          <w:tcPr>
            <w:tcW w:type="dxa" w:w="16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On plan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 Manager</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plan</w:t>
            </w:r>
          </w:p>
        </w:tc>
      </w:tr>
    </w:tbl>
    <w:p>
      <w:pPr>
        <w:spacing w:after="60" w:before="60"/>
      </w:pPr>
      <w:r>
        <w:t xml:space="preserve"/>
      </w:r>
    </w:p>
    <w:p>
      <w:pPr>
        <w:pStyle w:val="Heading1"/>
        <w:spacing w:after="120" w:before="240"/>
      </w:pPr>
      <w:r>
        <w:rPr>
          <w:rFonts w:ascii="Arial" w:cs="Arial" w:eastAsia="Arial" w:hAnsi="Arial"/>
          <w:b/>
          <w:bCs/>
          <w:color w:val="1A3A5C"/>
          <w:sz w:val="26"/>
          <w:szCs w:val="26"/>
        </w:rPr>
        <w:t xml:space="preserve">Format 5: Performance Narrative Report (PNR)</w:t>
      </w:r>
    </w:p>
    <w:p>
      <w:pPr>
        <w:pBdr>
          <w:bottom w:val="single" w:color="1A3A5C" w:sz="4" w:space="1"/>
        </w:pBdr>
        <w:spacing w:after="60" w:before="120"/>
      </w:pPr>
      <w:r>
        <w:t xml:space="preserve"/>
      </w:r>
    </w:p>
    <w:p>
      <w:pPr>
        <w:pStyle w:val="Heading2"/>
        <w:spacing w:after="80" w:before="160"/>
      </w:pPr>
      <w:r>
        <w:rPr>
          <w:rFonts w:ascii="Arial" w:cs="Arial" w:eastAsia="Arial" w:hAnsi="Arial"/>
          <w:b/>
          <w:bCs/>
          <w:color w:val="2B5F8C"/>
          <w:sz w:val="23"/>
          <w:szCs w:val="23"/>
        </w:rPr>
        <w:t xml:space="preserve">5.1 Contract Overview and Period Summary</w:t>
      </w:r>
    </w:p>
    <w:p>
      <w:pPr>
        <w:spacing w:after="100" w:before="80"/>
      </w:pPr>
      <w:r>
        <w:rPr>
          <w:rFonts w:ascii="Arial" w:cs="Arial" w:eastAsia="Arial" w:hAnsi="Arial"/>
          <w:sz w:val="22"/>
          <w:szCs w:val="22"/>
        </w:rPr>
        <w:t xml:space="preserve">This PNR accompanies the second IPMDAR submission for the period ending 31 July 2025. Contract performance through Month 10 reflects two overlapping developments: (1) successful recovery from the Month 5 staffing event, now fully resolved; and (2) an ongoing Government-furnished information (GFI) delay that has created a schedule variance in Task Area 4 and prompted a formal Period of Performance extension request.
The staffing issue resolved in Month 7 as documented in the first PNR. By Month 8, all task areas had returned to on-plan performance, and significant technical milestones were achieved including SADD completion, formal Government acceptance of Architecture Option B, and Ground System Interface Document final approval. The current schedule variance is entirely attributable to a Government-caused GFI delay and does not reflect any contractor performance deficiency.</w:t>
      </w:r>
    </w:p>
    <w:p>
      <w:pPr>
        <w:pStyle w:val="Heading2"/>
        <w:spacing w:after="80" w:before="160"/>
      </w:pPr>
      <w:r>
        <w:rPr>
          <w:rFonts w:ascii="Arial" w:cs="Arial" w:eastAsia="Arial" w:hAnsi="Arial"/>
          <w:b/>
          <w:bCs/>
          <w:color w:val="2B5F8C"/>
          <w:sz w:val="23"/>
          <w:szCs w:val="23"/>
        </w:rPr>
        <w:t xml:space="preserve">5.2 Schedule Variance Analysis</w:t>
      </w:r>
    </w:p>
    <w:p>
      <w:pPr>
        <w:pStyle w:val="Heading3"/>
        <w:spacing w:after="60" w:before="120"/>
      </w:pPr>
      <w:r>
        <w:rPr>
          <w:rFonts w:ascii="Arial" w:cs="Arial" w:eastAsia="Arial" w:hAnsi="Arial"/>
          <w:b/>
          <w:bCs/>
          <w:color w:val="2B5F8C"/>
          <w:sz w:val="22"/>
          <w:szCs w:val="22"/>
        </w:rPr>
        <w:t xml:space="preserve">5.2.1 Task Area 4 — Schedule Variance: -$500,000 (Government-Caused)</w:t>
      </w:r>
    </w:p>
    <w:p>
      <w:pPr>
        <w:spacing w:after="100" w:before="80"/>
      </w:pPr>
      <w:r>
        <w:rPr>
          <w:rFonts w:ascii="Arial" w:cs="Arial" w:eastAsia="Arial" w:hAnsi="Arial"/>
          <w:sz w:val="22"/>
          <w:szCs w:val="22"/>
        </w:rPr>
        <w:t xml:space="preserve">The SSDD Mission Thread Data Package (GFI Item 3), contractually required by 01 June 2025, was not received as of the data date (31 July 2025). This data package is a prerequisite for: (a) prototype integration planning against operational threat parameters; (b) threat model integration into the test framework; and (c) end-to-end system test configuration definition. The contractor formally documented the GFI dependency and notified the COR in writing on 10 June 2025 — within 10 days of the missed delivery date.
All GFI-independent work within TA-4 has continued without interruption. Prototype Phase 1 hardware assembly and GFI-independent subsystem integration are complete. Phase 1 is awaiting GFI-dependent integration steps only. The Schedule Impact Assessment submitted 18 July 2025 documents the specific milestone delays: (1) Milestone 4B (Prototype Integration and Testing) originally 15 August 2025 — estimated slip 8–10 weeks; (2) Milestone 5A (End-to-End System Test) — cascading 10–12 week impact.
The contractor formally requested a 90-day no-cost PoP extension via modification request submitted to the CO/ACO on 25 July 2025. The basis for the extension is Government-caused and is clearly documented in the Schedule Impact Assessment. No contractor action is required for schedule recovery beyond receipt of the GFI.</w:t>
      </w:r>
    </w:p>
    <w:p>
      <w:pPr>
        <w:pStyle w:val="Heading3"/>
        <w:spacing w:after="60" w:before="120"/>
      </w:pPr>
      <w:r>
        <w:rPr>
          <w:rFonts w:ascii="Arial" w:cs="Arial" w:eastAsia="Arial" w:hAnsi="Arial"/>
          <w:b/>
          <w:bCs/>
          <w:color w:val="2B5F8C"/>
          <w:sz w:val="22"/>
          <w:szCs w:val="22"/>
        </w:rPr>
        <w:t xml:space="preserve">5.2.2 Positive Variances and Completed Milestones (Months 7–10)</w:t>
      </w:r>
    </w:p>
    <w:p>
      <w:pPr>
        <w:spacing w:after="100" w:before="80"/>
      </w:pPr>
      <w:r>
        <w:rPr>
          <w:rFonts w:ascii="Arial" w:cs="Arial" w:eastAsia="Arial" w:hAnsi="Arial"/>
          <w:sz w:val="22"/>
          <w:szCs w:val="22"/>
        </w:rPr>
        <w:t xml:space="preserve">Significant accomplishments since the first PNR (Month 6) include: SADD Revision 1 submitted and accepted by COR (July 2025); Q2 Program Review completed successfully with NRL approval of Architecture Option B; Ground System Interface Requirements Document accepted by COR (final); sensor integration specification final accepted without re-review. These completions represent the majority of the high-complexity design work and support a positive technical assessment.</w:t>
      </w:r>
    </w:p>
    <w:p>
      <w:pPr>
        <w:pStyle w:val="Heading2"/>
        <w:spacing w:after="80" w:before="160"/>
      </w:pPr>
      <w:r>
        <w:rPr>
          <w:rFonts w:ascii="Arial" w:cs="Arial" w:eastAsia="Arial" w:hAnsi="Arial"/>
          <w:b/>
          <w:bCs/>
          <w:color w:val="2B5F8C"/>
          <w:sz w:val="23"/>
          <w:szCs w:val="23"/>
        </w:rPr>
        <w:t xml:space="preserve">5.3 Cost Variance Analysis</w:t>
      </w:r>
    </w:p>
    <w:p>
      <w:pPr>
        <w:spacing w:after="100" w:before="80"/>
      </w:pPr>
      <w:r>
        <w:rPr>
          <w:rFonts w:ascii="Arial" w:cs="Arial" w:eastAsia="Arial" w:hAnsi="Arial"/>
          <w:sz w:val="22"/>
          <w:szCs w:val="22"/>
        </w:rPr>
        <w:t xml:space="preserve">The cumulative cost variance of -$92,490 (CPI = 0.978) is elevated relative to the Month 6 position (CPI = 0.988) primarily due to increased ODC expenditures associated with temporary subcontractor coverage during the TA-1 staffing transition (Months 5–7). These ODCs were within management reserve and did not affect the funded ceiling. The current EAC is $8,450,000 — within the CBB. The contractor does not project a cost overrun and expects CPI to remain above 0.97 through contract completion.
The GFI-driven pace reduction in TA-4 (Months 9–10) has had a small favorable effect on ACWP by reducing planned labor expenditure, partially offsetting the ODC-driven variance. This effect will reverse when GFI is received and TA-4 resumes full pace.</w:t>
      </w:r>
    </w:p>
    <w:p>
      <w:pPr>
        <w:pStyle w:val="Heading2"/>
        <w:spacing w:after="80" w:before="160"/>
      </w:pPr>
      <w:r>
        <w:rPr>
          <w:rFonts w:ascii="Arial" w:cs="Arial" w:eastAsia="Arial" w:hAnsi="Arial"/>
          <w:b/>
          <w:bCs/>
          <w:color w:val="2B5F8C"/>
          <w:sz w:val="23"/>
          <w:szCs w:val="23"/>
        </w:rPr>
        <w:t xml:space="preserve">5.4 Risk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c>
          <w:tcPr>
            <w:tcW w:type="dxa" w:w="24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2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56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Mitigation / Status</w:t>
            </w:r>
          </w:p>
        </w:tc>
      </w:tr>
      <w:tr>
        <w:tc>
          <w:tcPr>
            <w:tcW w:type="dxa" w:w="2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PoP extension mod not executed before Oct 1 PoP end</w:t>
            </w:r>
          </w:p>
        </w:tc>
        <w:tc>
          <w:tcPr>
            <w:tcW w:type="dxa" w:w="1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High</w:t>
            </w:r>
          </w:p>
        </w:tc>
        <w:tc>
          <w:tcPr>
            <w:tcW w:type="dxa" w:w="45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Submitted 25 Jul; COR verbal confirmation GFI anticipated August; contractor proceeding against extension timeline per COR guidance.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GFI receipt further delayed beyond August 2025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 has verbally indicated August delivery. Contractor continues GFI-independent work. Any further delay will require additional schedule impact assessment.</w:t>
            </w:r>
          </w:p>
        </w:tc>
      </w:tr>
      <w:tr>
        <w:tc>
          <w:tcPr>
            <w:tcW w:type="dxa" w:w="2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Cost overrun from extended labor period</w:t>
            </w:r>
          </w:p>
        </w:tc>
        <w:tc>
          <w:tcPr>
            <w:tcW w:type="dxa" w:w="1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Very Low</w:t>
            </w:r>
          </w:p>
        </w:tc>
        <w:tc>
          <w:tcPr>
            <w:tcW w:type="dxa" w:w="1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Medium</w:t>
            </w:r>
          </w:p>
        </w:tc>
        <w:tc>
          <w:tcPr>
            <w:tcW w:type="dxa" w:w="45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Current EAC = CBB. No-cost extension means no additional Government funding required. Contractor absorbs any minimal overhead from extended schedule.</w:t>
            </w:r>
          </w:p>
        </w:tc>
      </w:tr>
    </w:tbl>
    <w:p>
      <w:pPr>
        <w:pStyle w:val="Heading2"/>
        <w:spacing w:after="80" w:before="160"/>
      </w:pPr>
      <w:r>
        <w:rPr>
          <w:rFonts w:ascii="Arial" w:cs="Arial" w:eastAsia="Arial" w:hAnsi="Arial"/>
          <w:b/>
          <w:bCs/>
          <w:color w:val="2B5F8C"/>
          <w:sz w:val="23"/>
          <w:szCs w:val="23"/>
        </w:rPr>
        <w:t xml:space="preserve">5.5 Management Actions</w:t>
      </w:r>
    </w:p>
    <w:p>
      <w:pPr>
        <w:spacing w:after="100" w:before="80"/>
      </w:pPr>
      <w:r>
        <w:rPr>
          <w:rFonts w:ascii="Arial" w:cs="Arial" w:eastAsia="Arial" w:hAnsi="Arial"/>
          <w:b/>
          <w:bCs/>
          <w:sz w:val="22"/>
          <w:szCs w:val="22"/>
        </w:rPr>
        <w:t xml:space="preserve">Government Actions Required: </w:t>
      </w:r>
      <w:r>
        <w:rPr>
          <w:rFonts w:ascii="Arial" w:cs="Arial" w:eastAsia="Arial" w:hAnsi="Arial"/>
          <w:sz w:val="22"/>
          <w:szCs w:val="22"/>
        </w:rPr>
        <w:t xml:space="preserve">(1) Execute PoP extension modification (P00001) — requested 25 July 2025. (2) Deliver GFI Item 3 — original due date was 01 June 2025.</w:t>
      </w:r>
    </w:p>
    <w:p>
      <w:pPr>
        <w:spacing w:after="100" w:before="80"/>
      </w:pPr>
      <w:r>
        <w:rPr>
          <w:rFonts w:ascii="Arial" w:cs="Arial" w:eastAsia="Arial" w:hAnsi="Arial"/>
          <w:b/>
          <w:bCs/>
          <w:sz w:val="22"/>
          <w:szCs w:val="22"/>
        </w:rPr>
        <w:t xml:space="preserve">Contractor Actions Completed: </w:t>
      </w:r>
      <w:r>
        <w:rPr>
          <w:rFonts w:ascii="Arial" w:cs="Arial" w:eastAsia="Arial" w:hAnsi="Arial"/>
          <w:sz w:val="22"/>
          <w:szCs w:val="22"/>
        </w:rPr>
        <w:t xml:space="preserve">Formal GFI delay notification to COR (10 Jun); Schedule Impact Assessment submitted (18 Jul); PoP extension modification request submitted (25 Jul); all GFI-independent work continuing.</w:t>
      </w:r>
    </w:p>
    <w:p>
      <w:pPr>
        <w:spacing w:after="100" w:before="80"/>
      </w:pPr>
      <w:r>
        <w:rPr>
          <w:rFonts w:ascii="Arial" w:cs="Arial" w:eastAsia="Arial" w:hAnsi="Arial"/>
          <w:b/>
          <w:bCs/>
          <w:sz w:val="22"/>
          <w:szCs w:val="22"/>
        </w:rPr>
        <w:t xml:space="preserve">Contractor Actions Planned: </w:t>
      </w:r>
      <w:r>
        <w:rPr>
          <w:rFonts w:ascii="Arial" w:cs="Arial" w:eastAsia="Arial" w:hAnsi="Arial"/>
          <w:sz w:val="22"/>
          <w:szCs w:val="22"/>
        </w:rPr>
        <w:t xml:space="preserve">Upon GFI receipt: immediately initiate threat model integration; resume TA-4 full pace; update IMS to reflect GFI receipt date.</w:t>
      </w:r>
    </w:p>
    <w:p>
      <w:pPr>
        <w:spacing w:after="60" w:before="60"/>
      </w:pPr>
      <w:r>
        <w:t xml:space="preserve"/>
      </w:r>
    </w:p>
    <w:p>
      <w:pPr>
        <w:pBdr>
          <w:bottom w:val="single" w:color="1A3A5C" w:sz="4" w:space="1"/>
        </w:pBdr>
        <w:spacing w:after="60" w:before="120"/>
      </w:pPr>
      <w:r>
        <w:t xml:space="preserve"/>
      </w:r>
    </w:p>
    <w:p>
      <w:pPr>
        <w:jc w:val="center"/>
      </w:pPr>
      <w:r>
        <w:rPr>
          <w:rFonts w:ascii="Arial" w:cs="Arial" w:eastAsia="Arial" w:hAnsi="Arial"/>
          <w:color w:val="666666"/>
          <w:sz w:val="18"/>
          <w:szCs w:val="18"/>
        </w:rPr>
        <w:t xml:space="preserve">IPMDAR Submission 2 of 3 | N00173-25-C-XXXX | Data Date: 31 July 2025 | Apex Systems Engineering, Inc.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26"/>
      <w:szCs w:val="26"/>
    </w:rPr>
  </w:style>
  <w:style w:type="paragraph" w:styleId="Heading2">
    <w:name w:val="Heading 2"/>
    <w:basedOn w:val="Normal"/>
    <w:next w:val="Normal"/>
    <w:qFormat/>
    <w:pPr>
      <w:spacing w:after="80" w:before="160"/>
      <w:outlineLvl w:val="1"/>
    </w:pPr>
    <w:rPr>
      <w:rFonts w:ascii="Arial" w:cs="Arial" w:eastAsia="Arial" w:hAnsi="Arial"/>
      <w:b/>
      <w:bCs/>
      <w:color w:val="2B5F8C"/>
      <w:sz w:val="23"/>
      <w:szCs w:val="23"/>
    </w:rPr>
  </w:style>
  <w:style w:type="paragraph" w:styleId="Heading3">
    <w:name w:val="Heading 3"/>
    <w:basedOn w:val="Normal"/>
    <w:next w:val="Normal"/>
    <w:qFormat/>
    <w:pPr>
      <w:spacing w:after="60" w:before="120"/>
      <w:outlineLvl w:val="2"/>
    </w:pPr>
    <w:rPr>
      <w:rFonts w:ascii="Arial" w:cs="Arial" w:eastAsia="Arial" w:hAnsi="Arial"/>
      <w:b/>
      <w:bCs/>
      <w:color w:val="2B5F8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2026-04-26T16:18:03.165Z</dcterms:created>
  <dcterms:modified xsi:type="dcterms:W3CDTF">2026-04-26T16:18:03.165Z</dcterms:modified>
</cp:coreProperties>
</file>

<file path=docProps/custom.xml><?xml version="1.0" encoding="utf-8"?>
<Properties xmlns="http://schemas.openxmlformats.org/officeDocument/2006/custom-properties" xmlns:vt="http://schemas.openxmlformats.org/officeDocument/2006/docPropsVTypes"/>
</file>