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5C"/>
          <w:sz w:val="30"/>
          <w:szCs w:val="30"/>
        </w:rPr>
        <w:t xml:space="preserve">INTEGRATED PROGRAM MANAGEMENT DATA AND ANALYSIS REPORT (IPMDAR)</w:t>
      </w:r>
    </w:p>
    <w:p>
      <w:pPr>
        <w:spacing w:after="60" w:before="0"/>
        <w:jc w:val="center"/>
      </w:pPr>
      <w:r>
        <w:rPr>
          <w:rFonts w:ascii="Arial" w:cs="Arial" w:eastAsia="Arial" w:hAnsi="Arial"/>
          <w:b/>
          <w:bCs/>
          <w:color w:val="2B5F8C"/>
          <w:sz w:val="24"/>
          <w:szCs w:val="24"/>
        </w:rPr>
        <w:t xml:space="preserve">Performance Narrative Report (Format 5)</w:t>
      </w:r>
    </w:p>
    <w:p>
      <w:pPr>
        <w:spacing w:after="240" w:before="0"/>
        <w:jc w:val="center"/>
      </w:pPr>
      <w:r>
        <w:rPr>
          <w:rFonts w:ascii="Arial" w:cs="Arial" w:eastAsia="Arial" w:hAnsi="Arial"/>
          <w:color w:val="555555"/>
          <w:sz w:val="22"/>
          <w:szCs w:val="22"/>
        </w:rPr>
        <w:t xml:space="preserve">Submission 1 of 3 — Data Date: 31 March 2025</w:t>
      </w:r>
    </w:p>
    <w:p>
      <w:pPr>
        <w:pStyle w:val="Heading1"/>
        <w:spacing w:after="120" w:before="240"/>
      </w:pPr>
      <w:r>
        <w:rPr>
          <w:rFonts w:ascii="Arial" w:cs="Arial" w:eastAsia="Arial" w:hAnsi="Arial"/>
          <w:b/>
          <w:bCs/>
          <w:color w:val="1A3A5C"/>
          <w:sz w:val="26"/>
          <w:szCs w:val="26"/>
        </w:rPr>
        <w:t xml:space="preserve">Format 1: Contract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Number</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N00173-25-C-XXXX</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Apex Systems Engineering, Inc.</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Program</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Plus Fixed Fee (CPFF)</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Data Date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31 March 2025</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Reporting Period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March 2025 – 31 March 2025 (Base Year, Month 6)</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Original PoP</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01 October 2024 – 30 September 2025</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Current PoP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October 2024 – 30 September 2025 (no modification in effect as of data date)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Budget Base (CBB)</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Budgeted Cost for Work Scheduled (BCWS)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$2,180,000 (cumulative thru data date)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Budgeted Cost for Work Performed (BCWP)</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$2,050,000 (cumulative thru data date)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Actual Cost of Work Performed (ACWP)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$2,074,390 (cumulative thru data date)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Cost Variance (CV)</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-$24,390 (-1.2%) — Within acceptable threshold</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Schedule Variance (SV)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-$130,000 (-6.0%) — Task Area 1 schedule impact</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CPI (Cumulative)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0.988 — Negligible cost variance; within normal range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SPI (Cumulative)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0.940 — Task Area 1 staffing-driven slip; recovery plan active</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2: Organizational Categories / WBS Summary</w:t>
      </w:r>
    </w:p>
    <w:p>
      <w:pPr>
        <w:spacing w:after="100" w:before="80"/>
      </w:pPr>
      <w:r>
        <w:rPr>
          <w:rFonts w:ascii="Arial" w:cs="Arial" w:eastAsia="Arial" w:hAnsi="Arial"/>
          <w:sz w:val="22"/>
          <w:szCs w:val="22"/>
        </w:rPr>
        <w:t xml:space="preserve">Work is organized under the approved Contract Work Breakdown Structure (CWBS) across five task areas. Earned value status is summarized below as of the data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 Area / WBS Element</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BCWS ($K)</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BCWP ($K)</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ACWP ($K)</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SV ($K)</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TA-1: System Architecture</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680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550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572</w:t>
            </w:r>
          </w:p>
        </w:tc>
        <w:tc>
          <w:tcPr>
            <w:tcW w:type="dxa" w:w="16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-130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TA-2: RF Sensor Integration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TA-3: Ground System Interface</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380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390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388</w:t>
            </w:r>
          </w:p>
        </w:tc>
        <w:tc>
          <w:tcPr>
            <w:tcW w:type="dxa" w:w="16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TA-4: Prototype Development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TA-5: System Test Planning</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90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90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91</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ODCs / Subcontract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6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2,180</w:t>
            </w:r>
          </w:p>
        </w:tc>
        <w:tc>
          <w:tcPr>
            <w:tcW w:type="dxa" w:w="16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2,050</w:t>
            </w:r>
          </w:p>
        </w:tc>
        <w:tc>
          <w:tcPr>
            <w:tcW w:type="dxa" w:w="16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2,074</w:t>
            </w:r>
          </w:p>
        </w:tc>
        <w:tc>
          <w:tcPr>
            <w:tcW w:type="dxa" w:w="16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-130</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3: Baseline Log / Change History</w:t>
      </w:r>
    </w:p>
    <w:p>
      <w:pPr>
        <w:spacing w:after="100" w:before="80"/>
      </w:pPr>
      <w:r>
        <w:rPr>
          <w:rFonts w:ascii="Arial" w:cs="Arial" w:eastAsia="Arial" w:hAnsi="Arial"/>
          <w:sz w:val="22"/>
          <w:szCs w:val="22"/>
        </w:rPr>
        <w:t xml:space="preserve">No contract modifications affecting the Performance Measurement Baseline (PMB) have been executed as of the data date. The CWBS was approved by the COR on 18 December 2024 (Day 45+). One internal re-plan was executed in March 2025 to redistribute TA-1 work scope following the Lead Systems Engineer departure; this replan was within management reserve and did not alter the CBB or PMB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400"/>
        <w:gridCol w:w="3600"/>
      </w:tblGrid>
      <w:tr>
        <w:tc>
          <w:tcPr>
            <w:tcW w:type="dxa" w:w="15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 No.</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18 Dec 2024</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Internal Re-plan</w:t>
            </w:r>
          </w:p>
        </w:tc>
        <w:tc>
          <w:tcPr>
            <w:tcW w:type="dxa" w:w="3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CWBS approved; initial PMB established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Mar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Re-plan (MR)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TA-1 scope redistribution within management reserve; Lead SE departure mitigation</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4: Staffing Plan vs. Actual</w:t>
      </w:r>
    </w:p>
    <w:p>
      <w:pPr>
        <w:spacing w:after="100" w:before="80"/>
      </w:pPr>
      <w:r>
        <w:rPr>
          <w:rFonts w:ascii="Arial" w:cs="Arial" w:eastAsia="Arial" w:hAnsi="Arial"/>
          <w:sz w:val="22"/>
          <w:szCs w:val="22"/>
        </w:rPr>
        <w:t xml:space="preserve">Staffing is reported against the approved Staffing Plan submitted at contract kickoff. The primary variance is in TA-1 senior engineering labor, reflecting the Lead Systems Engineer departure in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Labor Category</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FTEs</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Actual FTEs</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Variance</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Principal Systems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Hiring in progress; Mr. Tanner offer accepted 28 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Systems Engineer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Nair temporarily assigned from TA-3</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RF/Sensor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Engineer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Test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Manager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5: Performance Narrative Report (PNR)</w:t>
      </w:r>
    </w:p>
    <w:p>
      <w:pPr>
        <w:pBdr>
          <w:bottom w:val="single" w:color="1A3A5C" w:sz="4" w:space="1"/>
        </w:pBdr>
        <w:spacing w:after="60" w:before="120"/>
      </w:pPr>
      <w:r>
        <w:t xml:space="preserve"/>
      </w:r>
    </w:p>
    <w:p>
      <w:pPr>
        <w:pStyle w:val="Heading2"/>
        <w:spacing w:after="80" w:before="160"/>
      </w:pPr>
      <w:r>
        <w:rPr>
          <w:rFonts w:ascii="Arial" w:cs="Arial" w:eastAsia="Arial" w:hAnsi="Arial"/>
          <w:b/>
          <w:bCs/>
          <w:color w:val="2B5F8C"/>
          <w:sz w:val="23"/>
          <w:szCs w:val="23"/>
        </w:rPr>
        <w:t xml:space="preserve">5.1 Contract Overview and Period Summary</w:t>
      </w:r>
    </w:p>
    <w:p>
      <w:pPr>
        <w:spacing w:after="100" w:before="80"/>
      </w:pPr>
      <w:r>
        <w:rPr>
          <w:rFonts w:ascii="Arial" w:cs="Arial" w:eastAsia="Arial" w:hAnsi="Arial"/>
          <w:sz w:val="22"/>
          <w:szCs w:val="22"/>
        </w:rPr>
        <w:t xml:space="preserve">This Performance Narrative Report (PNR) accompanies the IPMDAR submission for the period ending 31 March 2025, Base Year Month 6 of contract N00173-25-C-XXXX. This is the first PNR submission for this contract. The contract supports the Naval Research Laboratory Space Systems Development Department (SSDD) in C4ISR systems design and development activities.
Contract performance through Month 6 is generally satisfactory. The contract experienced one significant staffing event (Lead Systems Engineer departure, Month 5) and one deliverable with a minor schedule slip in Task Area 1. All other task areas are performing on or ahead of plan. Cost performance is within normal CPI variance range (CPI = 0.988). The staffing gap is in active recovery with a replacement hire confirmed.</w:t>
      </w:r>
    </w:p>
    <w:p>
      <w:pPr>
        <w:pStyle w:val="Heading2"/>
        <w:spacing w:after="80" w:before="160"/>
      </w:pPr>
      <w:r>
        <w:rPr>
          <w:rFonts w:ascii="Arial" w:cs="Arial" w:eastAsia="Arial" w:hAnsi="Arial"/>
          <w:b/>
          <w:bCs/>
          <w:color w:val="2B5F8C"/>
          <w:sz w:val="23"/>
          <w:szCs w:val="23"/>
        </w:rPr>
        <w:t xml:space="preserve">5.2 Schedule Variance Analysis</w:t>
      </w:r>
    </w:p>
    <w:p>
      <w:pPr>
        <w:pStyle w:val="Heading3"/>
        <w:spacing w:after="60" w:before="120"/>
      </w:pPr>
      <w:r>
        <w:rPr>
          <w:rFonts w:ascii="Arial" w:cs="Arial" w:eastAsia="Arial" w:hAnsi="Arial"/>
          <w:b/>
          <w:bCs/>
          <w:color w:val="2B5F8C"/>
          <w:sz w:val="22"/>
          <w:szCs w:val="22"/>
        </w:rPr>
        <w:t xml:space="preserve">5.2.1 Task Area 1 — Schedule Variance: -$130,000 (SV = -19.1%)</w:t>
      </w:r>
    </w:p>
    <w:p>
      <w:pPr>
        <w:spacing w:after="100" w:before="80"/>
      </w:pPr>
      <w:r>
        <w:rPr>
          <w:rFonts w:ascii="Arial" w:cs="Arial" w:eastAsia="Arial" w:hAnsi="Arial"/>
          <w:sz w:val="22"/>
          <w:szCs w:val="22"/>
        </w:rPr>
        <w:t xml:space="preserve">The schedule variance in Task Area 1 is entirely attributable to the departure of the Lead Systems Engineer (Mr. David Hale) effective 28 February 2025. Mr. Hale was the principal contributor to the System Architecture Definition Document (SADD) and architecture trade study effort. His departure in Month 5 reduced effective technical capacity on TA-1 by approximately 40% during the search and onboarding period.
The impact is specific and bounded: SADD Section 3 (Architecture Definition) originally planned for completion by 21 March 2025 is now estimated for 11 April 2025 — a 21-day slip against the internal plan. No contract deliverable due dates have slipped as of the data date; the slip is against an internal schedule milestone within the overall SADD delivery window.
Corrective Actions in Effect: (1) Ms. Priya Nair (Senior Systems Engineer, TA-3) temporarily reassigned to TA-1 full-time effective 10 March 2025; (2) Subcontractor Meridian Technical Solutions engaged for supplemental architecture documentation support effective 15 March 2025; (3) Mr. James Tanner (replacement Principal Systems Engineer) accepted offer 28 March 2025; expected start date 14 April 2025. Mr. Tanner holds existing NRL facility access, which eliminates the typical 4–6 week access delay.
EAC Impact: The contractor does not project any change to the Estimate at Completion (EAC) as a result of this staffing event. The temporary labor redistribution is within management reserve. If Mr. Tanner's start date slips beyond 30 April 2025, the contractor will update the schedule risk assessment and notify the COR.</w:t>
      </w:r>
    </w:p>
    <w:p>
      <w:pPr>
        <w:pStyle w:val="Heading3"/>
        <w:spacing w:after="60" w:before="120"/>
      </w:pPr>
      <w:r>
        <w:rPr>
          <w:rFonts w:ascii="Arial" w:cs="Arial" w:eastAsia="Arial" w:hAnsi="Arial"/>
          <w:b/>
          <w:bCs/>
          <w:color w:val="2B5F8C"/>
          <w:sz w:val="22"/>
          <w:szCs w:val="22"/>
        </w:rPr>
        <w:t xml:space="preserve">5.2.2 All Other Task Areas — On Schedule</w:t>
      </w:r>
    </w:p>
    <w:p>
      <w:pPr>
        <w:spacing w:after="100" w:before="80"/>
      </w:pPr>
      <w:r>
        <w:rPr>
          <w:rFonts w:ascii="Arial" w:cs="Arial" w:eastAsia="Arial" w:hAnsi="Arial"/>
          <w:sz w:val="22"/>
          <w:szCs w:val="22"/>
        </w:rPr>
        <w:t xml:space="preserve">Task Areas 2, 3, 4, and 5 are performing at or ahead of schedule. TA-3 shows a minor positive variance (+$10K) reflecting early completion of the ground system interface requirements framework. TA-2 is executing exactly on plan following COR acceptance of the sensor integration specification (submitted and accepted without major comment). TA-4 preliminary design activities are on plan. TA-5 has not yet entered its primary execution window.</w:t>
      </w:r>
    </w:p>
    <w:p>
      <w:pPr>
        <w:pStyle w:val="Heading2"/>
        <w:spacing w:after="80" w:before="160"/>
      </w:pPr>
      <w:r>
        <w:rPr>
          <w:rFonts w:ascii="Arial" w:cs="Arial" w:eastAsia="Arial" w:hAnsi="Arial"/>
          <w:b/>
          <w:bCs/>
          <w:color w:val="2B5F8C"/>
          <w:sz w:val="23"/>
          <w:szCs w:val="23"/>
        </w:rPr>
        <w:t xml:space="preserve">5.3 Cost Variance Analysis</w:t>
      </w:r>
    </w:p>
    <w:p>
      <w:pPr>
        <w:spacing w:after="100" w:before="80"/>
      </w:pPr>
      <w:r>
        <w:rPr>
          <w:rFonts w:ascii="Arial" w:cs="Arial" w:eastAsia="Arial" w:hAnsi="Arial"/>
          <w:sz w:val="22"/>
          <w:szCs w:val="22"/>
        </w:rPr>
        <w:t xml:space="preserve">The cumulative cost variance of -$24,390 (CV = -1.2%, CPI = 0.988) is within the contractor's normal operating range and does not indicate a systemic cost performance issue. The variance is primarily attributable to the temporary subcontractor engagement for TA-1 coverage (Meridian Technical Solutions), which was not originally planned at this level of effort. The subcontractor costs are within management reserve and do not exceed the funded ceiling.
The contractor does not project a cost overrun. The estimated cost to complete (ETC) of $6,375,610 is within the remaining funded amount of $6,375,610. The contractor will continue to monitor cost performance closely during the TA-1 transition period.</w:t>
      </w:r>
    </w:p>
    <w:p>
      <w:pPr>
        <w:pStyle w:val="Heading2"/>
        <w:spacing w:after="80" w:before="160"/>
      </w:pPr>
      <w:r>
        <w:rPr>
          <w:rFonts w:ascii="Arial" w:cs="Arial" w:eastAsia="Arial" w:hAnsi="Arial"/>
          <w:b/>
          <w:bCs/>
          <w:color w:val="2B5F8C"/>
          <w:sz w:val="23"/>
          <w:szCs w:val="23"/>
        </w:rPr>
        <w:t xml:space="preserve">5.4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8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TA-1 replacement hire delayed beyond 30 Apr</w:t>
            </w:r>
          </w:p>
        </w:tc>
        <w:tc>
          <w:tcPr>
            <w:tcW w:type="dxa" w:w="14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Medium</w:t>
            </w:r>
          </w:p>
        </w:tc>
        <w:tc>
          <w:tcPr>
            <w:tcW w:type="dxa" w:w="40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Offer accepted; existing NRL access eliminates main delay driver. Meridian subcontract in place as backstop.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SADD Section 3 slip cascades to overall SADD delivery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slip (21 days) within schedule margin. Recovery expected by Month 7.</w:t>
            </w:r>
          </w:p>
        </w:tc>
      </w:tr>
    </w:tbl>
    <w:p>
      <w:pPr>
        <w:pStyle w:val="Heading2"/>
        <w:spacing w:after="80" w:before="160"/>
      </w:pPr>
      <w:r>
        <w:rPr>
          <w:rFonts w:ascii="Arial" w:cs="Arial" w:eastAsia="Arial" w:hAnsi="Arial"/>
          <w:b/>
          <w:bCs/>
          <w:color w:val="2B5F8C"/>
          <w:sz w:val="23"/>
          <w:szCs w:val="23"/>
        </w:rPr>
        <w:t xml:space="preserve">5.5 Management Actions</w:t>
      </w:r>
    </w:p>
    <w:p>
      <w:pPr>
        <w:spacing w:after="100" w:before="80"/>
      </w:pPr>
      <w:r>
        <w:rPr>
          <w:rFonts w:ascii="Arial" w:cs="Arial" w:eastAsia="Arial" w:hAnsi="Arial"/>
          <w:b/>
          <w:bCs/>
          <w:sz w:val="22"/>
          <w:szCs w:val="22"/>
        </w:rPr>
        <w:t xml:space="preserve">Completed this period: </w:t>
      </w:r>
      <w:r>
        <w:rPr>
          <w:rFonts w:ascii="Arial" w:cs="Arial" w:eastAsia="Arial" w:hAnsi="Arial"/>
          <w:sz w:val="22"/>
          <w:szCs w:val="22"/>
        </w:rPr>
        <w:t xml:space="preserve">Staffing recovery plan submitted to COR 05 March 2025; Meridian subcontract supplemental engagement executed; replacement hire offer extended and accepted.</w:t>
      </w:r>
    </w:p>
    <w:p>
      <w:pPr>
        <w:spacing w:after="100" w:before="80"/>
      </w:pPr>
      <w:r>
        <w:rPr>
          <w:rFonts w:ascii="Arial" w:cs="Arial" w:eastAsia="Arial" w:hAnsi="Arial"/>
          <w:b/>
          <w:bCs/>
          <w:sz w:val="22"/>
          <w:szCs w:val="22"/>
        </w:rPr>
        <w:t xml:space="preserve">Planned next period: </w:t>
      </w:r>
      <w:r>
        <w:rPr>
          <w:rFonts w:ascii="Arial" w:cs="Arial" w:eastAsia="Arial" w:hAnsi="Arial"/>
          <w:sz w:val="22"/>
          <w:szCs w:val="22"/>
        </w:rPr>
        <w:t xml:space="preserve">Onboard Mr. Tanner (14 April); complete SADD Section 3; complete sensor integration specification final per COR comments; advance TA-3 ground system requirements to 90%.</w:t>
      </w:r>
    </w:p>
    <w:p>
      <w:pPr>
        <w:spacing w:after="60" w:before="60"/>
      </w:pPr>
      <w:r>
        <w:t xml:space="preserve"/>
      </w:r>
    </w:p>
    <w:p>
      <w:pPr>
        <w:pBdr>
          <w:bottom w:val="single" w:color="1A3A5C" w:sz="4" w:space="1"/>
        </w:pBdr>
        <w:spacing w:after="60" w:before="120"/>
      </w:pPr>
      <w:r>
        <w:t xml:space="preserve"/>
      </w:r>
    </w:p>
    <w:p>
      <w:pPr>
        <w:jc w:val="center"/>
      </w:pPr>
      <w:r>
        <w:rPr>
          <w:rFonts w:ascii="Arial" w:cs="Arial" w:eastAsia="Arial" w:hAnsi="Arial"/>
          <w:color w:val="666666"/>
          <w:sz w:val="18"/>
          <w:szCs w:val="18"/>
        </w:rPr>
        <w:t xml:space="preserve">IPMDAR Submission 1 of 3 | N00173-25-C-XXXX | Data Date: 31 March 2025 | Apex Systems Engineering,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B5F8C"/>
      <w:sz w:val="23"/>
      <w:szCs w:val="23"/>
    </w:rPr>
  </w:style>
  <w:style w:type="paragraph" w:styleId="Heading3">
    <w:name w:val="Heading 3"/>
    <w:basedOn w:val="Normal"/>
    <w:next w:val="Normal"/>
    <w:qFormat/>
    <w:pPr>
      <w:spacing w:after="60" w:before="120"/>
      <w:outlineLvl w:val="2"/>
    </w:pPr>
    <w:rPr>
      <w:rFonts w:ascii="Arial" w:cs="Arial" w:eastAsia="Arial" w:hAnsi="Arial"/>
      <w:b/>
      <w:bCs/>
      <w:color w:val="2B5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2026-04-26T16:18:02.945Z</dcterms:created>
  <dcterms:modified xsi:type="dcterms:W3CDTF">2026-04-26T16:18:02.946Z</dcterms:modified>
</cp:coreProperties>
</file>

<file path=docProps/custom.xml><?xml version="1.0" encoding="utf-8"?>
<Properties xmlns="http://schemas.openxmlformats.org/officeDocument/2006/custom-properties" xmlns:vt="http://schemas.openxmlformats.org/officeDocument/2006/docPropsVTypes"/>
</file>