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A5C"/>
          <w:sz w:val="30"/>
          <w:szCs w:val="30"/>
        </w:rPr>
        <w:t xml:space="preserve">INTEGRATED PROGRAM MANAGEMENT DATA AND ANALYSIS REPORT (IPMDAR)</w:t>
      </w:r>
    </w:p>
    <w:p>
      <w:pPr>
        <w:spacing w:after="60" w:before="0"/>
        <w:jc w:val="center"/>
      </w:pPr>
      <w:r>
        <w:rPr>
          <w:rFonts w:ascii="Arial" w:cs="Arial" w:eastAsia="Arial" w:hAnsi="Arial"/>
          <w:b/>
          <w:bCs/>
          <w:color w:val="2B5F8C"/>
          <w:sz w:val="24"/>
          <w:szCs w:val="24"/>
        </w:rPr>
        <w:t xml:space="preserve">Performance Narrative Report (Format 5)</w:t>
      </w:r>
    </w:p>
    <w:p>
      <w:pPr>
        <w:spacing w:after="240" w:before="0"/>
        <w:jc w:val="center"/>
      </w:pPr>
      <w:r>
        <w:rPr>
          <w:rFonts w:ascii="Arial" w:cs="Arial" w:eastAsia="Arial" w:hAnsi="Arial"/>
          <w:color w:val="555555"/>
          <w:sz w:val="22"/>
          <w:szCs w:val="22"/>
        </w:rPr>
        <w:t xml:space="preserve">Submission 3 of 3 — Data Date: 30 April 2026 (Option Year 1, Month 4)</w:t>
      </w:r>
    </w:p>
    <w:p>
      <w:pPr>
        <w:pStyle w:val="Heading1"/>
        <w:spacing w:after="120" w:before="240"/>
      </w:pPr>
      <w:r>
        <w:rPr>
          <w:rFonts w:ascii="Arial" w:cs="Arial" w:eastAsia="Arial" w:hAnsi="Arial"/>
          <w:b/>
          <w:bCs/>
          <w:color w:val="1A3A5C"/>
          <w:sz w:val="26"/>
          <w:szCs w:val="26"/>
        </w:rPr>
        <w:t xml:space="preserve">Format 1: Contract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Contract Number</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N00173-25-C-XXXX</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Contractor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Apex Systems Engineering, Inc.</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Data Date</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30 April 2026</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Reporting Period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April 2026 – 30 April 2026 (Option Year 1, Month 4)</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Current PoP</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01 January 2026 – 31 December 2026 (Option Year 1 — exercised 15 December 2025)</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Contract Budget Base (CBB) — OY1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$8,800,000</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BCWS (Cumulative OY1)</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$3,200,000</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BCWP (Cumulative OY1)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$3,150,000</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ACWP (Cumulative OY1)</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$3,108,440</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Cost Variance (CV)</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+$41,560 (+1.3%) — Favorable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Schedule Variance (SV)</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-$50,000 (-1.6%) — Minor; within normal variance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CPI (Cumulative OY1)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1.013 — Favorable cost performance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SPI (Cumulative OY1)</w:t>
            </w:r>
          </w:p>
        </w:tc>
        <w:tc>
          <w:tcPr>
            <w:tcW w:type="dxa" w:w="62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0.984 — Essentially on schedule; no recovery actions required</w:t>
            </w:r>
          </w:p>
        </w:tc>
      </w:tr>
    </w:tbl>
    <w:p>
      <w:pPr>
        <w:spacing w:after="60" w:before="60"/>
      </w:pPr>
      <w:r>
        <w:t xml:space="preserve"/>
      </w:r>
    </w:p>
    <w:p>
      <w:pPr>
        <w:pStyle w:val="Heading1"/>
        <w:spacing w:after="120" w:before="240"/>
      </w:pPr>
      <w:r>
        <w:rPr>
          <w:rFonts w:ascii="Arial" w:cs="Arial" w:eastAsia="Arial" w:hAnsi="Arial"/>
          <w:b/>
          <w:bCs/>
          <w:color w:val="1A3A5C"/>
          <w:sz w:val="26"/>
          <w:szCs w:val="26"/>
        </w:rPr>
        <w:t xml:space="preserve">Format 2: WBS Summary — Option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360"/>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 Area</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BCWS ($K)</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BCWP ($K)</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ACWP ($K)</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SV ($K)</w:t>
            </w:r>
          </w:p>
        </w:tc>
        <w:tc>
          <w:tcPr>
            <w:tcW w:type="dxa" w:w="13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TA-4: Prototype Phase 2 Integration</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1,200</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1,140</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1,118</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-60</w:t>
            </w:r>
          </w:p>
        </w:tc>
        <w:tc>
          <w:tcPr>
            <w:tcW w:type="dxa" w:w="1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Minor slip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TA-5: End-to-End System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1,598</w:t>
            </w:r>
          </w:p>
        </w:tc>
        <w:tc>
          <w:tcPr>
            <w:tcW w:type="dxa" w:w="14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+20</w:t>
            </w:r>
          </w:p>
        </w:tc>
        <w:tc>
          <w:tcPr>
            <w:tcW w:type="dxa" w:w="13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On/ahead plan</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TA-6: Tech Transfer / Documentation</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320</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310</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305</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sz w:val="20"/>
                <w:szCs w:val="20"/>
              </w:rPr>
              <w:t xml:space="preserve">3,200</w:t>
            </w:r>
          </w:p>
        </w:tc>
        <w:tc>
          <w:tcPr>
            <w:tcW w:type="dxa" w:w="1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sz w:val="20"/>
                <w:szCs w:val="20"/>
              </w:rPr>
              <w:t xml:space="preserve">3,150</w:t>
            </w:r>
          </w:p>
        </w:tc>
        <w:tc>
          <w:tcPr>
            <w:tcW w:type="dxa" w:w="14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sz w:val="20"/>
                <w:szCs w:val="20"/>
              </w:rPr>
              <w:t xml:space="preserve">3,108</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spacing w:after="120" w:before="240"/>
      </w:pPr>
      <w:r>
        <w:rPr>
          <w:rFonts w:ascii="Arial" w:cs="Arial" w:eastAsia="Arial" w:hAnsi="Arial"/>
          <w:b/>
          <w:bCs/>
          <w:color w:val="1A3A5C"/>
          <w:sz w:val="26"/>
          <w:szCs w:val="26"/>
        </w:rPr>
        <w:t xml:space="preserve">Format 3: Baseline Log / Change History — OY1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400"/>
        <w:gridCol w:w="3600"/>
      </w:tblGrid>
      <w:tr>
        <w:tc>
          <w:tcPr>
            <w:tcW w:type="dxa" w:w="15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 No.</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08 Sep 2025</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P00001</w:t>
            </w:r>
          </w:p>
        </w:tc>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PoP Extension — No Cost</w:t>
            </w:r>
          </w:p>
        </w:tc>
        <w:tc>
          <w:tcPr>
            <w:tcW w:type="dxa" w:w="3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Base Year 90-day no-cost extension (GFI delay, Government-caused). Fully executed. Base year PoP now through 30 December 2025.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Dec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 Exercise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 Year 1 exercised. OY1 PoP: 01 January 2026 – 31 December 2026. OY1 CBB: $8,800,000.</w:t>
            </w:r>
          </w:p>
        </w:tc>
      </w:tr>
      <w:tr>
        <w:tc>
          <w:tcPr>
            <w:tcW w:type="dxa" w:w="1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15 Jan 2026</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N/A</w:t>
            </w:r>
          </w:p>
        </w:tc>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Internal PMB Replan</w:t>
            </w:r>
          </w:p>
        </w:tc>
        <w:tc>
          <w:tcPr>
            <w:tcW w:type="dxa" w:w="3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OY1 PMB established per approved OY1 CWBS. No contract value change.</w:t>
            </w:r>
          </w:p>
        </w:tc>
      </w:tr>
    </w:tbl>
    <w:p>
      <w:pPr>
        <w:spacing w:after="60" w:before="60"/>
      </w:pPr>
      <w:r>
        <w:t xml:space="preserve"/>
      </w:r>
    </w:p>
    <w:p>
      <w:pPr>
        <w:pStyle w:val="Heading1"/>
        <w:spacing w:after="120" w:before="240"/>
      </w:pPr>
      <w:r>
        <w:rPr>
          <w:rFonts w:ascii="Arial" w:cs="Arial" w:eastAsia="Arial" w:hAnsi="Arial"/>
          <w:b/>
          <w:bCs/>
          <w:color w:val="1A3A5C"/>
          <w:sz w:val="26"/>
          <w:szCs w:val="26"/>
        </w:rPr>
        <w:t xml:space="preserve">Format 4: Staffing Plan vs. Actual — OY1</w:t>
      </w:r>
    </w:p>
    <w:p>
      <w:pPr>
        <w:spacing w:after="100" w:before="80"/>
      </w:pPr>
      <w:r>
        <w:rPr>
          <w:rFonts w:ascii="Arial" w:cs="Arial" w:eastAsia="Arial" w:hAnsi="Arial"/>
          <w:sz w:val="22"/>
          <w:szCs w:val="22"/>
        </w:rPr>
        <w:t xml:space="preserve">Staffing is fully on plan for OY1. All key personnel from the base year are retained. No unplanned departures have occurred in OY1. The contractor implemented a retention initiative in OY1 Q1 that included targeted compensation adjustments for two senior technical staff, proactively notified to the COR.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Labor Category</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Planned FTEs</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Actual FTEs</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Variance</w:t>
            </w:r>
          </w:p>
        </w:tc>
        <w:tc>
          <w:tcPr>
            <w:tcW w:type="dxa" w:w="164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Principal Systems Engineer</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1.0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On plan — Mr. Tanner retained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Systems Engineer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RF/Sensor Engineer</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Engineer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plan</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Test Engineer</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2.0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Increased by 1.0 for system test execution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Manager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plan</w:t>
            </w:r>
          </w:p>
        </w:tc>
      </w:tr>
    </w:tbl>
    <w:p>
      <w:pPr>
        <w:spacing w:after="60" w:before="60"/>
      </w:pPr>
      <w:r>
        <w:t xml:space="preserve"/>
      </w:r>
    </w:p>
    <w:p>
      <w:pPr>
        <w:pStyle w:val="Heading1"/>
        <w:spacing w:after="120" w:before="240"/>
      </w:pPr>
      <w:r>
        <w:rPr>
          <w:rFonts w:ascii="Arial" w:cs="Arial" w:eastAsia="Arial" w:hAnsi="Arial"/>
          <w:b/>
          <w:bCs/>
          <w:color w:val="1A3A5C"/>
          <w:sz w:val="26"/>
          <w:szCs w:val="26"/>
        </w:rPr>
        <w:t xml:space="preserve">Format 5: Performance Narrative Report (PNR)</w:t>
      </w:r>
    </w:p>
    <w:p>
      <w:pPr>
        <w:pBdr>
          <w:bottom w:val="single" w:color="1A3A5C" w:sz="4" w:space="1"/>
        </w:pBdr>
        <w:spacing w:after="60" w:before="120"/>
      </w:pPr>
      <w:r>
        <w:t xml:space="preserve"/>
      </w:r>
    </w:p>
    <w:p>
      <w:pPr>
        <w:pStyle w:val="Heading2"/>
        <w:spacing w:after="80" w:before="160"/>
      </w:pPr>
      <w:r>
        <w:rPr>
          <w:rFonts w:ascii="Arial" w:cs="Arial" w:eastAsia="Arial" w:hAnsi="Arial"/>
          <w:b/>
          <w:bCs/>
          <w:color w:val="2B5F8C"/>
          <w:sz w:val="23"/>
          <w:szCs w:val="23"/>
        </w:rPr>
        <w:t xml:space="preserve">5.1 Contract Overview and Period Summary</w:t>
      </w:r>
    </w:p>
    <w:p>
      <w:pPr>
        <w:spacing w:after="100" w:before="80"/>
      </w:pPr>
      <w:r>
        <w:rPr>
          <w:rFonts w:ascii="Arial" w:cs="Arial" w:eastAsia="Arial" w:hAnsi="Arial"/>
          <w:sz w:val="22"/>
          <w:szCs w:val="22"/>
        </w:rPr>
        <w:t xml:space="preserve">This PNR accompanies the third and final IPMDAR submission in this reporting series, for the period ending 30 April 2026 (Option Year 1, Month 4). It provides a comprehensive status of OY1 performance and, where relevant, retrospective assessment of base year issues documented in prior PNR submissions.
Contract performance in OY1 is strong. Both prior-period issues (staffing gap from Month 5; GFI delay from Months 9–10) are fully resolved. The base year PoP extension was executed on schedule (08 September 2025) and all base year scope was completed within the extension period and within the funded ceiling. Option Year 1 was exercised on 15 December 2025 and work has commenced smoothly. OY1 cost performance is favorable (CPI = 1.013), schedule performance is essentially on plan (SPI = 0.984), and no significant risks are active.</w:t>
      </w:r>
    </w:p>
    <w:p>
      <w:pPr>
        <w:pStyle w:val="Heading2"/>
        <w:spacing w:after="80" w:before="160"/>
      </w:pPr>
      <w:r>
        <w:rPr>
          <w:rFonts w:ascii="Arial" w:cs="Arial" w:eastAsia="Arial" w:hAnsi="Arial"/>
          <w:b/>
          <w:bCs/>
          <w:color w:val="2B5F8C"/>
          <w:sz w:val="23"/>
          <w:szCs w:val="23"/>
        </w:rPr>
        <w:t xml:space="preserve">5.2 Schedule Variance Analysis</w:t>
      </w:r>
    </w:p>
    <w:p>
      <w:pPr>
        <w:pStyle w:val="Heading3"/>
        <w:spacing w:after="60" w:before="120"/>
      </w:pPr>
      <w:r>
        <w:rPr>
          <w:rFonts w:ascii="Arial" w:cs="Arial" w:eastAsia="Arial" w:hAnsi="Arial"/>
          <w:b/>
          <w:bCs/>
          <w:color w:val="2B5F8C"/>
          <w:sz w:val="22"/>
          <w:szCs w:val="22"/>
        </w:rPr>
        <w:t xml:space="preserve">5.2.1 Task Area 4 (Prototype Phase 2) — Minor Negative Variance</w:t>
      </w:r>
    </w:p>
    <w:p>
      <w:pPr>
        <w:spacing w:after="100" w:before="80"/>
      </w:pPr>
      <w:r>
        <w:rPr>
          <w:rFonts w:ascii="Arial" w:cs="Arial" w:eastAsia="Arial" w:hAnsi="Arial"/>
          <w:sz w:val="22"/>
          <w:szCs w:val="22"/>
        </w:rPr>
        <w:t xml:space="preserve">TA-4 shows a schedule variance of -$60,000 (SV = -5.0%) attributable to slightly higher integration complexity encountered during Phase 2 prototype assembly in OY1 Q1. The specific issue involved interface compatibility between the edge compute nodes (Architecture Option B) and the legacy sensor interface protocol, which required an unplanned 3-week engineering analysis period. The contractor identified this issue proactively, documented it in the OY1 Month 2 status report, and implemented a corrective action (interface adapter layer design) that was completed in OY1 Month 3.
As of the data date, Phase 2 integration is back on plan. The contractor does not project any further schedule impact from this issue. The corrective action added approximately $18,000 in additional labor (absorbed within management reserve) and recovered the schedule variance from -8.3% (Month 2) to -5.0% (Month 4). No contract deliverable dates are at risk.</w:t>
      </w:r>
    </w:p>
    <w:p>
      <w:pPr>
        <w:pStyle w:val="Heading3"/>
        <w:spacing w:after="60" w:before="120"/>
      </w:pPr>
      <w:r>
        <w:rPr>
          <w:rFonts w:ascii="Arial" w:cs="Arial" w:eastAsia="Arial" w:hAnsi="Arial"/>
          <w:b/>
          <w:bCs/>
          <w:color w:val="2B5F8C"/>
          <w:sz w:val="22"/>
          <w:szCs w:val="22"/>
        </w:rPr>
        <w:t xml:space="preserve">5.2.2 Task Area 5 (End-to-End System Test) — Positive Variance</w:t>
      </w:r>
    </w:p>
    <w:p>
      <w:pPr>
        <w:spacing w:after="100" w:before="80"/>
      </w:pPr>
      <w:r>
        <w:rPr>
          <w:rFonts w:ascii="Arial" w:cs="Arial" w:eastAsia="Arial" w:hAnsi="Arial"/>
          <w:sz w:val="22"/>
          <w:szCs w:val="22"/>
        </w:rPr>
        <w:t xml:space="preserve">TA-5 is performing ahead of plan (SV = +$20,000, SPI = 1.012). This positive performance reflects the maturity of the test planning completed during the base year extension period; the OY1 test team was able to begin test execution approximately 2 weeks ahead of the OY1 plan because the test plan and test environment setup were essentially complete at OY1 start. Initial system test results are positive: 12 of 14 test cases completed to date have passed on first execution. Two test cases required retest (one due to test environment configuration error — contractor-identified and corrected within 72 hours; one due to an ambiguous test procedure that was clarified with COR concurrence).</w:t>
      </w:r>
    </w:p>
    <w:p>
      <w:pPr>
        <w:pStyle w:val="Heading2"/>
        <w:spacing w:after="80" w:before="160"/>
      </w:pPr>
      <w:r>
        <w:rPr>
          <w:rFonts w:ascii="Arial" w:cs="Arial" w:eastAsia="Arial" w:hAnsi="Arial"/>
          <w:b/>
          <w:bCs/>
          <w:color w:val="2B5F8C"/>
          <w:sz w:val="23"/>
          <w:szCs w:val="23"/>
        </w:rPr>
        <w:t xml:space="preserve">5.3 Cost Variance Analysis</w:t>
      </w:r>
    </w:p>
    <w:p>
      <w:pPr>
        <w:spacing w:after="100" w:before="80"/>
      </w:pPr>
      <w:r>
        <w:rPr>
          <w:rFonts w:ascii="Arial" w:cs="Arial" w:eastAsia="Arial" w:hAnsi="Arial"/>
          <w:sz w:val="22"/>
          <w:szCs w:val="22"/>
        </w:rPr>
        <w:t xml:space="preserve">OY1 cost performance is favorable with a CPI of 1.013 (+$41,560 cumulative cost underrun through Month 4). The underrun reflects: (1) efficiency gains from the experienced, stable OY1 team that required less ramp-up time than budgeted; (2) slightly lower ODC expenditure as the subcontractor Meridian's role narrowed to documentation support only (reduced from base year integration support); and (3) no unplanned expenditures.
The favorable cost posture provides meaningful EAC margin. The contractor's current EAC for OY1 is $8,750,000 against a CBB of $8,800,000 — a $50,000 projected underrun. This estimate conservatively assumes the TA-4 Phase 2 integration work recovers on the current trajectory and no new scope issues emerge.</w:t>
      </w:r>
    </w:p>
    <w:p>
      <w:pPr>
        <w:pStyle w:val="Heading2"/>
        <w:spacing w:after="80" w:before="160"/>
      </w:pPr>
      <w:r>
        <w:rPr>
          <w:rFonts w:ascii="Arial" w:cs="Arial" w:eastAsia="Arial" w:hAnsi="Arial"/>
          <w:b/>
          <w:bCs/>
          <w:color w:val="2B5F8C"/>
          <w:sz w:val="23"/>
          <w:szCs w:val="23"/>
        </w:rPr>
        <w:t xml:space="preserve">5.4 Retrospective: Base Year Issue Closure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First Reported</w:t>
            </w:r>
          </w:p>
        </w:tc>
        <w:tc>
          <w:tcPr>
            <w:tcW w:type="dxa" w:w="49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Resolution and Status</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Lead SE Departure (TA-1)</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Month 5 (Feb 2025)</w:t>
            </w:r>
          </w:p>
        </w:tc>
        <w:tc>
          <w:tcPr>
            <w:tcW w:type="dxa" w:w="49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RESOLVED. Replacement hired (Mr. Tanner), onboarded Month 7. Schedule fully recovered Month 7. No deliverable dates missed. Mr. Tanner retained through OY1.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GFI Item 3 Delay (Government-Caused)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9 (Jun 2025)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 GFI received 12 August 2025 (72 days late). 90-day no-cost PoP extension executed 08 September 2025. All base year scope completed within extension period.</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TA-4 Phase 2 Interface Issue (OY1)</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OY1 Month 2 (Feb 2026)</w:t>
            </w:r>
          </w:p>
        </w:tc>
        <w:tc>
          <w:tcPr>
            <w:tcW w:type="dxa" w:w="49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RESOLVING. Interface adapter layer designed and implemented. Schedule variance recovering. No deliverable date risk.</w:t>
            </w:r>
          </w:p>
        </w:tc>
      </w:tr>
    </w:tbl>
    <w:p>
      <w:pPr>
        <w:pStyle w:val="Heading2"/>
        <w:spacing w:after="80" w:before="160"/>
      </w:pPr>
      <w:r>
        <w:rPr>
          <w:rFonts w:ascii="Arial" w:cs="Arial" w:eastAsia="Arial" w:hAnsi="Arial"/>
          <w:b/>
          <w:bCs/>
          <w:color w:val="2B5F8C"/>
          <w:sz w:val="23"/>
          <w:szCs w:val="23"/>
        </w:rPr>
        <w:t xml:space="preserve">5.5 Risk Summary — OY1</w:t>
      </w:r>
    </w:p>
    <w:p>
      <w:pPr>
        <w:spacing w:after="100" w:before="80"/>
      </w:pPr>
      <w:r>
        <w:rPr>
          <w:rFonts w:ascii="Arial" w:cs="Arial" w:eastAsia="Arial" w:hAnsi="Arial"/>
          <w:sz w:val="22"/>
          <w:szCs w:val="22"/>
        </w:rPr>
        <w:t xml:space="preserve">No active high-likelihood risks as of the data date. The TA-4 Phase 2 interface issue has been downgraded from risk to observation following successful corrective action implementation. The contractor's risk posture for the remainder of OY1 is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Additional interface complexity in TA-4 Phase 3</w:t>
            </w:r>
          </w:p>
        </w:tc>
        <w:tc>
          <w:tcPr>
            <w:tcW w:type="dxa" w:w="1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Low-Med</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20"/>
                <w:szCs w:val="20"/>
              </w:rPr>
              <w:t xml:space="preserve">Adapter layer architecture applied across Phase 3. Reduced complexity expected.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personnel retention (technical staff)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Retention initiative implemented Q1; no departures to date.</w:t>
            </w:r>
          </w:p>
        </w:tc>
      </w:tr>
    </w:tbl>
    <w:p>
      <w:pPr>
        <w:pStyle w:val="Heading2"/>
        <w:spacing w:after="80" w:before="160"/>
      </w:pPr>
      <w:r>
        <w:rPr>
          <w:rFonts w:ascii="Arial" w:cs="Arial" w:eastAsia="Arial" w:hAnsi="Arial"/>
          <w:b/>
          <w:bCs/>
          <w:color w:val="2B5F8C"/>
          <w:sz w:val="23"/>
          <w:szCs w:val="23"/>
        </w:rPr>
        <w:t xml:space="preserve">5.6 Planned Activities — OY1 Months 5–8</w:t>
      </w:r>
    </w:p>
    <w:p>
      <w:pPr>
        <w:pStyle w:val="ListParagraph"/>
        <w:numPr>
          <w:ilvl w:val="0"/>
          <w:numId w:val="2"/>
        </w:numPr>
        <w:spacing w:after="40" w:before="40"/>
      </w:pPr>
      <w:r>
        <w:rPr>
          <w:rFonts w:ascii="Arial" w:cs="Arial" w:eastAsia="Arial" w:hAnsi="Arial"/>
          <w:sz w:val="22"/>
          <w:szCs w:val="22"/>
        </w:rPr>
        <w:t xml:space="preserve">Complete TA-4 Prototype Phase 2 integration (Month 5 target)</w:t>
      </w:r>
    </w:p>
    <w:p>
      <w:pPr>
        <w:pStyle w:val="ListParagraph"/>
        <w:numPr>
          <w:ilvl w:val="0"/>
          <w:numId w:val="2"/>
        </w:numPr>
        <w:spacing w:after="40" w:before="40"/>
      </w:pPr>
      <w:r>
        <w:rPr>
          <w:rFonts w:ascii="Arial" w:cs="Arial" w:eastAsia="Arial" w:hAnsi="Arial"/>
          <w:sz w:val="22"/>
          <w:szCs w:val="22"/>
        </w:rPr>
        <w:t xml:space="preserve">Complete end-to-end system test execution — all 14 test cases (Month 6 target)</w:t>
      </w:r>
    </w:p>
    <w:p>
      <w:pPr>
        <w:pStyle w:val="ListParagraph"/>
        <w:numPr>
          <w:ilvl w:val="0"/>
          <w:numId w:val="2"/>
        </w:numPr>
        <w:spacing w:after="40" w:before="40"/>
      </w:pPr>
      <w:r>
        <w:rPr>
          <w:rFonts w:ascii="Arial" w:cs="Arial" w:eastAsia="Arial" w:hAnsi="Arial"/>
          <w:sz w:val="22"/>
          <w:szCs w:val="22"/>
        </w:rPr>
        <w:t xml:space="preserve">Deliver System Test Report (CDRL A003) to COR (Month 6)</w:t>
      </w:r>
    </w:p>
    <w:p>
      <w:pPr>
        <w:pStyle w:val="ListParagraph"/>
        <w:numPr>
          <w:ilvl w:val="0"/>
          <w:numId w:val="2"/>
        </w:numPr>
        <w:spacing w:after="40" w:before="40"/>
      </w:pPr>
      <w:r>
        <w:rPr>
          <w:rFonts w:ascii="Arial" w:cs="Arial" w:eastAsia="Arial" w:hAnsi="Arial"/>
          <w:sz w:val="22"/>
          <w:szCs w:val="22"/>
        </w:rPr>
        <w:t xml:space="preserve">Begin TA-6 Technology Transfer documentation (Months 5–8)</w:t>
      </w:r>
    </w:p>
    <w:p>
      <w:pPr>
        <w:pStyle w:val="ListParagraph"/>
        <w:numPr>
          <w:ilvl w:val="0"/>
          <w:numId w:val="2"/>
        </w:numPr>
        <w:spacing w:after="40" w:before="40"/>
      </w:pPr>
      <w:r>
        <w:rPr>
          <w:rFonts w:ascii="Arial" w:cs="Arial" w:eastAsia="Arial" w:hAnsi="Arial"/>
          <w:sz w:val="22"/>
          <w:szCs w:val="22"/>
        </w:rPr>
        <w:t xml:space="preserve">Prepare for OY2 option exercise documentation (Month 8)</w:t>
      </w:r>
    </w:p>
    <w:p>
      <w:pPr>
        <w:spacing w:after="60" w:before="60"/>
      </w:pPr>
      <w:r>
        <w:t xml:space="preserve"/>
      </w:r>
    </w:p>
    <w:p>
      <w:pPr>
        <w:pBdr>
          <w:bottom w:val="single" w:color="1A3A5C" w:sz="4" w:space="1"/>
        </w:pBdr>
        <w:spacing w:after="60" w:before="120"/>
      </w:pPr>
      <w:r>
        <w:t xml:space="preserve"/>
      </w:r>
    </w:p>
    <w:p>
      <w:pPr>
        <w:jc w:val="center"/>
      </w:pPr>
      <w:r>
        <w:rPr>
          <w:rFonts w:ascii="Arial" w:cs="Arial" w:eastAsia="Arial" w:hAnsi="Arial"/>
          <w:color w:val="666666"/>
          <w:sz w:val="18"/>
          <w:szCs w:val="18"/>
        </w:rPr>
        <w:t xml:space="preserve">IPMDAR Submission 3 of 3 | N00173-25-C-XXXX | Data Date: 30 April 2026 | Apex Systems Engineering,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B5F8C"/>
      <w:sz w:val="23"/>
      <w:szCs w:val="23"/>
    </w:rPr>
  </w:style>
  <w:style w:type="paragraph" w:styleId="Heading3">
    <w:name w:val="Heading 3"/>
    <w:basedOn w:val="Normal"/>
    <w:next w:val="Normal"/>
    <w:qFormat/>
    <w:pPr>
      <w:spacing w:after="60" w:before="120"/>
      <w:outlineLvl w:val="2"/>
    </w:pPr>
    <w:rPr>
      <w:rFonts w:ascii="Arial" w:cs="Arial" w:eastAsia="Arial" w:hAnsi="Arial"/>
      <w:b/>
      <w:bCs/>
      <w:color w:val="2B5F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2026-04-26T16:18:03.336Z</dcterms:created>
  <dcterms:modified xsi:type="dcterms:W3CDTF">2026-04-26T16:18:03.336Z</dcterms:modified>
</cp:coreProperties>
</file>

<file path=docProps/custom.xml><?xml version="1.0" encoding="utf-8"?>
<Properties xmlns="http://schemas.openxmlformats.org/officeDocument/2006/custom-properties" xmlns:vt="http://schemas.openxmlformats.org/officeDocument/2006/docPropsVTypes"/>
</file>