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0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INTEGRATED PROGRAM MANAGEMENT REPORT — FINAL YEAR-END PERFORMANCE REVIEW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Contract N0024426C0087 | ClearOps Systems LLC | Report ID: IPMDAR-002</w:t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Integrated Program Management Data Analysis Report (IPMDAR) — Performance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 October 2026 – 30 March 2027 (Q3–Q4)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Issued:</w:t>
            </w:r>
          </w:p>
        </w:tc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 April 2027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Nicole Jacobs, PM / Dr. Raymond Castillo, COR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Contract:</w:t>
            </w:r>
          </w:p>
        </w:tc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N0024426C0087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PERFORMANCE INDEX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2080"/>
        <w:gridCol w:w="2080"/>
      </w:tblGrid>
      <w:tr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CPI</w:t>
            </w:r>
          </w:p>
        </w:tc>
        <w:tc>
          <w:tcPr>
            <w:tcW w:type="dxa" w:w="20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Technical Performance</w:t>
            </w:r>
          </w:p>
        </w:tc>
        <w:tc>
          <w:tcPr>
            <w:tcW w:type="dxa" w:w="20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Schedule Performance</w:t>
            </w:r>
          </w:p>
        </w:tc>
        <w:tc>
          <w:tcPr>
            <w:tcW w:type="dxa" w:w="20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Cost Performance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1.02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1.07</w:t>
            </w:r>
          </w:p>
        </w:tc>
        <w:tc>
          <w:tcPr>
            <w:tcW w:type="dxa" w:w="20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Fully Meets Requirements</w:t>
            </w:r>
          </w:p>
        </w:tc>
        <w:tc>
          <w:tcPr>
            <w:tcW w:type="dxa" w:w="20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 All Milestones</w:t>
            </w:r>
          </w:p>
        </w:tc>
        <w:tc>
          <w:tcPr>
            <w:tcW w:type="dxa" w:w="20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$11,420 Under Budget (2.3%)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ClearOps Systems LLC completed all base year contract requirements in good order. All nine VM environments were delivered, tested, and accepted. Eighteen in-residence class weeks were supported. All 14 high-priority faculty and student feedback items were resolved. Total final expenditure was $494,180 against an obligated value of $505,600, representing a $11,420 savings to the government. CPI of 1.07 at program close reflects consistent cost discipline throughout the base year. SPI of 1.02 reflects a schedule that finished slightly ahead of plan despite a minor slip in Q1. No significant performance deficiencies were identified in the second half of the base year. This is a strong performance record warranting favorable past performance consideration in future source selections.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EARNED VALUE MANAGEMENT (EVM)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3600"/>
      </w:tblGrid>
      <w:tr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EVM Element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Planned Value (PV) — Final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$505,600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obligated value (CLIN 0001 + 0002)</w:t>
            </w:r>
          </w:p>
        </w:tc>
      </w:tr>
      <w:tr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Earned Value (EV) — Final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$505,600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contractual work completed</w:t>
            </w:r>
          </w:p>
        </w:tc>
      </w:tr>
      <w:tr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Actual Cost (AC) — Final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$494,180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invoiced and accrued costs (base year)</w:t>
            </w:r>
          </w:p>
        </w:tc>
      </w:tr>
      <w:tr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Schedule Variance (SV) — Final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work completed on time (EV = PV at close)</w:t>
            </w:r>
          </w:p>
        </w:tc>
      </w:tr>
      <w:tr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Cost Variance (CV) — Final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+$11,420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EV – AC: favorable at contract close</w:t>
            </w:r>
          </w:p>
        </w:tc>
      </w:tr>
      <w:tr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Schedule Performance Index (SPI)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1.02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Work completed slightly ahead of baseline</w:t>
            </w:r>
          </w:p>
        </w:tc>
      </w:tr>
      <w:tr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Cost Performance Index (CPI)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1.07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Favorable cost efficiency maintained throughout</w:t>
            </w:r>
          </w:p>
        </w:tc>
      </w:tr>
      <w:tr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Estimate at Completion (EAC) — Actual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$494,180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Final actual cost</w:t>
            </w:r>
          </w:p>
        </w:tc>
      </w:tr>
      <w:tr>
        <w:tc>
          <w:tcPr>
            <w:tcW w:type="dxa" w:w="3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Variance at Completion (VAC) — Final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+$11,420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savings returned to government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PERFORMANCE AREA REVIEWS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3E6B"/>
          <w:sz w:val="20"/>
          <w:szCs w:val="20"/>
        </w:rPr>
        <w:t xml:space="preserve">VM Environment Development (All 9 Courses) — Complete — Accepted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nine VM environments delivered, pre-class tested, and formally accepted by NPS. Measured availability across all environments averaged 97.1% for the base year — exceeding the 96% AQL. OVA exports for all environments delivered (CDRL A003/A004) and verified on NPS VMware and alternate government infrastructure.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3E6B"/>
          <w:sz w:val="20"/>
          <w:szCs w:val="20"/>
        </w:rPr>
        <w:t xml:space="preserve">SME Technical Support (In-Residence — 18 Weeks) — Complete — All Requirements Met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18 scheduled in-residence class weeks received SME support. Immediate-to-30-minute response time maintained for all incidents. 24-hour coverage provided during all in-residence weeks. Eight-hour email response maintained during distance learning weeks. Zero service failures or late responses documented for the base year.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3E6B"/>
          <w:sz w:val="20"/>
          <w:szCs w:val="20"/>
        </w:rPr>
        <w:t xml:space="preserve">Instructional and Student Guides (CDRL A005) — Complete — Accepted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versions of student and instructional guides for all nine course tracks accepted by NPS COR on 20 March 2027. Guides were structured per AQL: student guides 2–3 pages, instructor guides detailed with step-by-step solutions. No major revision requests at final review.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3E6B"/>
          <w:sz w:val="20"/>
          <w:szCs w:val="20"/>
        </w:rPr>
        <w:t xml:space="preserve">Feedback Incorporation (CDRL A006) — Complete — 100% of Critical/High Items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Fourteen faculty and student feedback items were designated as critical or high-priority across all course cycles. ClearOps addressed all 14 items prior to the next relevant class cycle. Notable updates included NIST SP 800-61 Rev. 3 alignment in the CSIRR module (Q3), Elastiflow configuration correction in Traffic Analysis (Q3), and ML&amp;AI Jupyter environment memory optimization (Q4).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3E6B"/>
          <w:sz w:val="20"/>
          <w:szCs w:val="20"/>
        </w:rPr>
        <w:t xml:space="preserve">Performance Metrics Collection — Complete — Operational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Time-on-task and task-completion rate data were collected and presented to NPS for all in-residence class weeks. NPS faculty reported that the metrics module provided useful formative assessment data for two course refinements in Q3–Q4.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RISK REGISTER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580"/>
        <w:gridCol w:w="1200"/>
        <w:gridCol w:w="1200"/>
        <w:gridCol w:w="1200"/>
        <w:gridCol w:w="2400"/>
      </w:tblGrid>
      <w:tr>
        <w:tc>
          <w:tcPr>
            <w:tcW w:type="dxa" w:w="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R-001</w:t>
            </w:r>
          </w:p>
        </w:tc>
        <w:tc>
          <w:tcPr>
            <w:tcW w:type="dxa" w:w="25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macOS Enterprise licensing dependency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Closed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Resolved Q2. No recurrence.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R-002</w:t>
            </w:r>
          </w:p>
        </w:tc>
        <w:tc>
          <w:tcPr>
            <w:tcW w:type="dxa" w:w="25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Latency exceedance for Far East participants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Closed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BGP reconfiguration implemented Q2; no further exceedances.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R-003</w:t>
            </w:r>
          </w:p>
        </w:tc>
        <w:tc>
          <w:tcPr>
            <w:tcW w:type="dxa" w:w="25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Faculty curriculum changes requiring mid-cycle VM updates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Closed — Monitor in OY1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2-week engineering buffer maintained; all Q3-Q4 curriculum updates incorporated on schedule. Recommend carryforward to Option Year 1 risk register.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R-004</w:t>
            </w:r>
          </w:p>
        </w:tc>
        <w:tc>
          <w:tcPr>
            <w:tcW w:type="dxa" w:w="25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ML&amp;AI toolchain deprecation (PyTorch, TensorFlow version compatibility)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Open — Carry to OY1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ClearOps identified version pinning strategy for base year environments. Recommend active version monitoring in Option Year 1 as frameworks update rapidly.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Integrated Program Management Data Analysis Report (IPMDAR) — Performance Narrative (IPMDAR-002) has been prepared by the Program Manager and reviewed by the Contracting Officer's Representative. Data is current as of 11 April 2027.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Nicole Jacobs, PM — ClearOps Systems LLC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Date: 11 April 2027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2026-04-26T18:47:56.719Z</dcterms:created>
  <dcterms:modified xsi:type="dcterms:W3CDTF">2026-04-26T18:47:56.719Z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