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28"/>
        </w:rPr>
        <w:t>Real-Time Payment Failure Detection and Automated Liquidity Bridging</w:t>
        <w:br/>
        <w:t>in Cross-Border Payment Networks</w:t>
      </w:r>
    </w:p>
    <w:p>
      <w:pPr>
        <w:spacing w:after="80"/>
        <w:jc w:val="center"/>
      </w:pPr>
      <w:r>
        <w:rPr>
          <w:rFonts w:ascii="Times New Roman" w:hAnsi="Times New Roman"/>
          <w:b w:val="0"/>
          <w:i/>
          <w:sz w:val="24"/>
        </w:rPr>
        <w:t>A Three-Component Architecture for Millisecond-Latency Working Capital Recovery</w:t>
      </w:r>
    </w:p>
    <w:p>
      <w:pPr>
        <w:spacing w:after="320"/>
        <w:jc w:val="center"/>
      </w:pPr>
      <w:r>
        <w:rPr>
          <w:rFonts w:ascii="Times New Roman" w:hAnsi="Times New Roman"/>
          <w:b w:val="0"/>
          <w:i/>
          <w:sz w:val="20"/>
        </w:rPr>
        <w:t>Manuscript submitted for review  ·  Author affiliations withheld for double-blind review</w:t>
      </w:r>
    </w:p>
    <w:p>
      <w:pPr>
        <w:spacing w:before="240" w:after="120"/>
      </w:pPr>
      <w:r>
        <w:rPr>
          <w:rFonts w:ascii="Times New Roman" w:hAnsi="Times New Roman"/>
          <w:b/>
          <w:i w:val="0"/>
          <w:sz w:val="22"/>
        </w:rPr>
        <w:t>Abstract</w:t>
      </w:r>
    </w:p>
    <w:p>
      <w:pPr>
        <w:spacing w:after="80"/>
        <w:ind w:left="576" w:right="576"/>
      </w:pPr>
      <w:r>
        <w:rPr>
          <w:rFonts w:ascii="Times New Roman" w:hAnsi="Times New Roman"/>
          <w:b w:val="0"/>
          <w:i w:val="0"/>
          <w:sz w:val="20"/>
        </w:rPr>
        <w:t>Cross-border payment failures create acute working capital deficits for receiving businesses, yet no automated real-time bridging mechanism exists within the global payment infrastructure. This paper presents a three-component architecture — a real-time failure prediction engine, a tiered probability-of-default pricing framework, and a settlement-confirmation auto-repayment loop — that collectively detect payment failures at median latency under 100 milliseconds, price and disburse a bridge loan in response, and recover the advance automatically upon settlement confirmation of the original payment. The failure prediction component applies a gradient-boosted ensemble classifier with isotonic calibration to structured feature representations extracted from ISO 20022 and SWIFT gpi payment status event streams, optimised using an asymmetric cost-weighted Fβ objective with β = 2. The pricing component implements a tiered probability-of-default framework that selects the estimation methodology — structural Merton-type model, proxy structural model using sector-median asset volatility, or reduced-form Altman Z'-score model — based on the data availability of the specific counterparty, extending conventional structural credit models to private companies without observable equity prices. The repayment component establishes a programmatic monitoring relationship between each disbursed advance and the SWIFT gpi UETR of the original payment, triggering automatic repayment collection upon settlement confirmation. Evaluation on a held-out payment dataset yields an AUC of 0.739 and a recall of 0.810 at the cost-optimised threshold. The system achieves end-to-end median latency of 94 milliseconds (p50) and 142 milliseconds (p99) from payment status event receipt to failure probability output, satisfying the real-time processing requirement for commercial utility in live payment corridors.</w:t>
      </w:r>
    </w:p>
    <w:p>
      <w:pPr>
        <w:spacing w:after="320"/>
        <w:ind w:left="576"/>
      </w:pPr>
      <w:r>
        <w:rPr>
          <w:rFonts w:ascii="Times New Roman" w:hAnsi="Times New Roman"/>
          <w:b/>
          <w:i w:val="0"/>
          <w:sz w:val="20"/>
        </w:rPr>
        <w:t xml:space="preserve">Keywords: </w:t>
      </w:r>
      <w:r>
        <w:rPr>
          <w:rFonts w:ascii="Times New Roman" w:hAnsi="Times New Roman"/>
          <w:b w:val="0"/>
          <w:i/>
          <w:sz w:val="20"/>
        </w:rPr>
        <w:t>payment failure prediction, trade finance, credit valuation adjustment, probability of default, ISO 20022, SWIFT gpi, automated liquidity, machine learning, gradient boosting, adversarial cancellation detection</w:t>
      </w:r>
    </w:p>
    <w:p>
      <w:pPr>
        <w:spacing w:before="240" w:after="120"/>
      </w:pPr>
      <w:r>
        <w:rPr>
          <w:rFonts w:ascii="Times New Roman" w:hAnsi="Times New Roman"/>
          <w:b/>
          <w:i w:val="0"/>
          <w:sz w:val="24"/>
        </w:rPr>
        <w:t>1. Introduction</w:t>
      </w:r>
    </w:p>
    <w:p>
      <w:pPr>
        <w:spacing w:before="0" w:after="120"/>
      </w:pPr>
      <w:r>
        <w:rPr>
          <w:rFonts w:ascii="Times New Roman" w:hAnsi="Times New Roman"/>
          <w:b w:val="0"/>
          <w:i w:val="0"/>
          <w:sz w:val="22"/>
        </w:rPr>
        <w:t>Cross-border business payments constitute one of the largest and most operationally critical financial flows in the global economy. The Bank for International Settlements estimates that business-to-business cross-border payment volume exceeded USD 32 trillion in 2024, growing at approximately 7% annually [1]. Within this volume, industry survey data consistently place the failure, rejection, or significant delay rate on first-attempt settlement at between 3% and 5%, implying that between USD 960 billion and USD 1.6 trillion in payment value is disrupted annually on first-attempt processing [2]. The receiving businesses in these disrupted transactions face an acute working capital problem: they have incurred obligations in anticipation of an expected payment receipt, and the delayed arrival creates a gap that must be funded from some external source.</w:t>
      </w:r>
    </w:p>
    <w:p>
      <w:pPr>
        <w:spacing w:before="0" w:after="120"/>
      </w:pPr>
      <w:r>
        <w:rPr>
          <w:rFonts w:ascii="Times New Roman" w:hAnsi="Times New Roman"/>
          <w:b w:val="0"/>
          <w:i w:val="0"/>
          <w:sz w:val="22"/>
        </w:rPr>
        <w:t>The current market for this gap is served by instruments — overdrafts, receivables financing, factoring, and trade credit lines — that share a common structural deficiency: they require human initiation, take hours to days to execute, and price the advance against a static credit assessment of the borrower rather than against the specific economics of the delayed receivable. None of these instruments is triggered by a payment network event. None of them prices in real time. None of them collects repayment automatically upon settlement of the underlying payment.</w:t>
      </w:r>
    </w:p>
    <w:p>
      <w:pPr>
        <w:spacing w:before="0" w:after="120"/>
      </w:pPr>
      <w:r>
        <w:rPr>
          <w:rFonts w:ascii="Times New Roman" w:hAnsi="Times New Roman"/>
          <w:b w:val="0"/>
          <w:i w:val="0"/>
          <w:sz w:val="22"/>
        </w:rPr>
        <w:t>Recent developments in global payment infrastructure have created the technical preconditions for a fundamentally different approach. The widespread adoption of the SWIFT global payments innovation (gpi) tracker between 2017 and 2022 established a unique transaction reference — the UETR — that enables real-time end-to-end tracking of a specific in-flight payment across the entire correspondent banking chain [3]. The progressive global migration to the ISO 20022 structured message standard, including the completion of the US Federal Reserve Fedwire migration in 2024 and the ongoing SWIFT cross-border migration, has standardised the machine-readable format of payment status and rejection signals [4]. Together, these infrastructure developments make it possible, for the first time, to monitor the real-time processing state of a specific identified payment transaction as it traverses the global banking network.</w:t>
      </w:r>
    </w:p>
    <w:p>
      <w:pPr>
        <w:spacing w:before="0" w:after="120"/>
      </w:pPr>
      <w:r>
        <w:rPr>
          <w:rFonts w:ascii="Times New Roman" w:hAnsi="Times New Roman"/>
          <w:b w:val="0"/>
          <w:i w:val="0"/>
          <w:sz w:val="22"/>
        </w:rPr>
        <w:t>This paper presents an architecture that exploits these infrastructure developments to build a three-component automated liquidity bridging system. The contributions of the paper are as follows.</w:t>
      </w:r>
    </w:p>
    <w:p>
      <w:pPr>
        <w:spacing w:after="80"/>
        <w:ind w:left="504" w:hanging="288"/>
      </w:pPr>
      <w:r>
        <w:rPr>
          <w:rFonts w:ascii="Times New Roman" w:hAnsi="Times New Roman"/>
          <w:b/>
          <w:i w:val="0"/>
          <w:sz w:val="22"/>
        </w:rPr>
        <w:t xml:space="preserve">• A real-time payment failure prediction engine </w:t>
      </w:r>
      <w:r>
        <w:rPr>
          <w:rFonts w:ascii="Times New Roman" w:hAnsi="Times New Roman"/>
          <w:b w:val="0"/>
          <w:i w:val="0"/>
          <w:sz w:val="22"/>
        </w:rPr>
        <w:t>that operates on structured ISO 20022 pacs.002 and SWIFT gpi UETR tracking event streams, applying a gradient-boosted ensemble classifier with isotonic calibration and a cost-asymmetric Fβ threshold optimised for the operational cost structure of payment bridging.</w:t>
      </w:r>
    </w:p>
    <w:p>
      <w:pPr>
        <w:spacing w:after="80"/>
        <w:ind w:left="504" w:hanging="288"/>
      </w:pPr>
      <w:r>
        <w:rPr>
          <w:rFonts w:ascii="Times New Roman" w:hAnsi="Times New Roman"/>
          <w:b/>
          <w:i w:val="0"/>
          <w:sz w:val="22"/>
        </w:rPr>
        <w:t xml:space="preserve">• A tiered probability-of-default framework </w:t>
      </w:r>
      <w:r>
        <w:rPr>
          <w:rFonts w:ascii="Times New Roman" w:hAnsi="Times New Roman"/>
          <w:b w:val="0"/>
          <w:i w:val="0"/>
          <w:sz w:val="22"/>
        </w:rPr>
        <w:t>that extends conventional structural credit models to the private-company counterparties that constitute the majority of mid-market cross-border trade, using sector-median asset volatility proxies for counterparties without observable equity prices.</w:t>
      </w:r>
    </w:p>
    <w:p>
      <w:pPr>
        <w:spacing w:after="80"/>
        <w:ind w:left="504" w:hanging="288"/>
      </w:pPr>
      <w:r>
        <w:rPr>
          <w:rFonts w:ascii="Times New Roman" w:hAnsi="Times New Roman"/>
          <w:b/>
          <w:i w:val="0"/>
          <w:sz w:val="22"/>
        </w:rPr>
        <w:t xml:space="preserve">• A settlement-confirmation auto-repayment loop </w:t>
      </w:r>
      <w:r>
        <w:rPr>
          <w:rFonts w:ascii="Times New Roman" w:hAnsi="Times New Roman"/>
          <w:b w:val="0"/>
          <w:i w:val="0"/>
          <w:sz w:val="22"/>
        </w:rPr>
        <w:t>that establishes a programmatic relationship between each disbursed bridge advance and the UETR of the original payment, triggering repayment collection without manual intervention upon detection of a settlement confirmation event.</w:t>
      </w:r>
    </w:p>
    <w:p>
      <w:pPr>
        <w:spacing w:before="120" w:after="120"/>
      </w:pPr>
      <w:r>
        <w:rPr>
          <w:rFonts w:ascii="Times New Roman" w:hAnsi="Times New Roman"/>
          <w:b w:val="0"/>
          <w:i w:val="0"/>
          <w:sz w:val="22"/>
        </w:rPr>
        <w:t>The remainder of the paper is organised as follows. Section 2 reviews related work. Section 3 describes the overall system architecture. Sections 4, 5, and 6 describe each component in detail. Section 7 presents empirical evaluation. Section 8 discusses limitations and extensions, including the adversarial payment cancellation detection capability that addresses the security of the auto-repayment mechanism. Section 9 concludes.</w:t>
      </w:r>
    </w:p>
    <w:p>
      <w:pPr>
        <w:spacing w:before="240" w:after="120"/>
      </w:pPr>
      <w:r>
        <w:rPr>
          <w:rFonts w:ascii="Times New Roman" w:hAnsi="Times New Roman"/>
          <w:b/>
          <w:i w:val="0"/>
          <w:sz w:val="24"/>
        </w:rPr>
        <w:t>2. Background and Related Work</w:t>
      </w:r>
    </w:p>
    <w:p>
      <w:pPr>
        <w:spacing w:before="240" w:after="120"/>
      </w:pPr>
      <w:r>
        <w:rPr>
          <w:rFonts w:ascii="Times New Roman" w:hAnsi="Times New Roman"/>
          <w:b/>
          <w:i w:val="0"/>
          <w:sz w:val="22"/>
        </w:rPr>
        <w:t>2.1  Cross-Border Payment Infrastructure and Failure Modes</w:t>
      </w:r>
    </w:p>
    <w:p>
      <w:pPr>
        <w:spacing w:before="0" w:after="120"/>
      </w:pPr>
      <w:r>
        <w:rPr>
          <w:rFonts w:ascii="Times New Roman" w:hAnsi="Times New Roman"/>
          <w:b w:val="0"/>
          <w:i w:val="0"/>
          <w:sz w:val="22"/>
        </w:rPr>
        <w:t>The global correspondent banking system routes cross-border payments through chains of intermediary banks, each maintaining nostro accounts with the next. The ISO 20022 pacs.002 message standard defines the structured format for payment status and rejection notifications, providing a taxonomy of rejection reason codes (e.g., AM04 for insufficient funds, RC01 for incorrect BIC, ED05 for settlement failed) that enable systematic classification of failure types [4]. Prior to the SWIFT gpi initiative, payment status was observable only by querying each correspondent in the chain individually; the UETR introduced by gpi provides a single reference that propagates across all hops, enabling real-time status visibility at sub-hop granularity [3].</w:t>
      </w:r>
    </w:p>
    <w:p>
      <w:pPr>
        <w:spacing w:before="0" w:after="120"/>
      </w:pPr>
      <w:r>
        <w:rPr>
          <w:rFonts w:ascii="Times New Roman" w:hAnsi="Times New Roman"/>
          <w:b w:val="0"/>
          <w:i w:val="0"/>
          <w:sz w:val="22"/>
        </w:rPr>
        <w:t>The technical failure modes in cross-border payments divide into three broad categories that carry distinct recovery probability distributions. Formatting and validation failures — rejections arising from data quality issues such as incorrect account numbers, invalid BIC codes, or malformed address fields — typically resolve within hours upon correction and carry high recovery probability. Liquidity and cut-off failures — rejections arising from insufficient nostro balances, missed cut-off times, or correspondent bank processing limits — carry moderate recovery probability and exhibit strong temporal and corridor-specific patterns. Compliance and regulatory failures — rejections arising from sanctions screening, AML holds, or regulatory documentation requirements — carry low recovery probability and long resolution times. A failure prediction system that conflates these categories will produce systematically miscalibrated risk assessments.</w:t>
      </w:r>
    </w:p>
    <w:p>
      <w:pPr>
        <w:spacing w:before="240" w:after="120"/>
      </w:pPr>
      <w:r>
        <w:rPr>
          <w:rFonts w:ascii="Times New Roman" w:hAnsi="Times New Roman"/>
          <w:b/>
          <w:i w:val="0"/>
          <w:sz w:val="22"/>
        </w:rPr>
        <w:t>2.2  Machine Learning for Payment Risk Classification</w:t>
      </w:r>
    </w:p>
    <w:p>
      <w:pPr>
        <w:spacing w:before="0" w:after="120"/>
      </w:pPr>
      <w:r>
        <w:rPr>
          <w:rFonts w:ascii="Times New Roman" w:hAnsi="Times New Roman"/>
          <w:b w:val="0"/>
          <w:i w:val="0"/>
          <w:sz w:val="22"/>
        </w:rPr>
        <w:t>Machine learning approaches to payment risk have been predominantly focused on fraud detection rather than settlement failure prediction. Bhattacharyya et al. [5] apply random forest models to credit card transaction classification with class-imbalance treatment, establishing the appropriateness of precision-recall optimisation over accuracy for rare-event payment classification. Dal Pozzolo et al. [6] address the concept drift problem in payment fraud classifiers and establish that model recalibration frequency is a primary determinant of deployed performance. Neither work addresses the cross-border settlement failure prediction problem, which differs from fraud detection in three important respects: the target class is not adversarial and exhibits stable seasonal patterns; the monitoring data source is payment network telemetry rather than transaction characteristics; and the operational cost asymmetry differs, since a missed failure creates a working capital gap while a false alarm creates only a rejected loan offer.</w:t>
      </w:r>
    </w:p>
    <w:p>
      <w:pPr>
        <w:spacing w:before="0" w:after="120"/>
      </w:pPr>
      <w:r>
        <w:rPr>
          <w:rFonts w:ascii="Times New Roman" w:hAnsi="Times New Roman"/>
          <w:b w:val="0"/>
          <w:i w:val="0"/>
          <w:sz w:val="22"/>
        </w:rPr>
        <w:t>Bottomline Technologies US11532040B2 [7] discloses a system for international cash management using machine learning that generates forward-looking cash flow forecasts from historical payment pattern analysis and triggers automated borrowing in anticipation of predicted aggregate cash position shortfalls. This work is the closest prior art in the domain of ML-driven automated liquidity provisioning. It is architecturally distinct from the system described in this paper in one critical respect: its trigger is a forecasted future aggregate cash position derived from historical pattern analysis — a forward-looking prediction of collective cash flow insufficiency — not a real-time failure signal from a specific identified in-flight payment transaction in a failure or delay state. A cash flow forecasting system and a real-time payment failure detection system process different signals at different time horizons, on different input representations, and with different triggering mechanisms. The system described in this paper is triggered exclusively by the detection of a real-time failure or delay condition in a specific identified payment transaction, and is not triggered by any forward-looking prediction of future aggregate cash flow insufficiency.</w:t>
      </w:r>
    </w:p>
    <w:p>
      <w:pPr>
        <w:spacing w:before="240" w:after="120"/>
      </w:pPr>
      <w:r>
        <w:rPr>
          <w:rFonts w:ascii="Times New Roman" w:hAnsi="Times New Roman"/>
          <w:b/>
          <w:i w:val="0"/>
          <w:sz w:val="22"/>
        </w:rPr>
        <w:t>2.3  Structural and Reduced-Form Credit Risk Models</w:t>
      </w:r>
    </w:p>
    <w:p>
      <w:pPr>
        <w:spacing w:before="0" w:after="120"/>
      </w:pPr>
      <w:r>
        <w:rPr>
          <w:rFonts w:ascii="Times New Roman" w:hAnsi="Times New Roman"/>
          <w:b w:val="0"/>
          <w:i w:val="0"/>
          <w:sz w:val="22"/>
        </w:rPr>
        <w:t>The Merton structural model [8] treats corporate equity as a call option on firm value, deriving probability of default from the relationship between asset value, asset volatility, and total liabilities. Black and Cox [9] extended the Merton framework to incorporate early default triggers. The KMV model, documented by Crosbie and Bohn [10], operationalised the Merton approach for commercial application using an iterative procedure to back out implied asset value and asset volatility from observable equity market data. All three structural models share the requirement that equity market data be observable, restricting their direct applicability to publicly listed companies. JPMorgan Chase US7089207B1 [11] patents a specific application of the structural approach that derives probability of default from current equity share price, equity price volatility, and total debt levels without assuming a credit spread as an input. The present work extends beyond US7089207B1 by introducing a tiered framework that provides structural model estimates for private companies without observable equity prices, using sector-median asset volatility proxies as described in Section 5.</w:t>
      </w:r>
    </w:p>
    <w:p>
      <w:pPr>
        <w:spacing w:before="0" w:after="120"/>
      </w:pPr>
      <w:r>
        <w:rPr>
          <w:rFonts w:ascii="Times New Roman" w:hAnsi="Times New Roman"/>
          <w:b w:val="0"/>
          <w:i w:val="0"/>
          <w:sz w:val="22"/>
        </w:rPr>
        <w:t>Altman's Z-score [12] and subsequent Z'-score formulation [13] for private companies provide reduced-form discriminant analysis approaches to corporate failure prediction that do not require equity market data. The Z'-score uses five financial ratios — working capital to total assets, retained earnings to total assets, EBIT to total assets, book value of equity to total liabilities, and sales to total assets — derivable from standard balance sheet and income statement data. Mapped to historical default rate tables, the Z'-score produces an empirically grounded default probability estimate suitable as a fallback when structural model inputs are unavailable.</w:t>
      </w:r>
    </w:p>
    <w:p>
      <w:pPr>
        <w:spacing w:before="240" w:after="120"/>
      </w:pPr>
      <w:r>
        <w:rPr>
          <w:rFonts w:ascii="Times New Roman" w:hAnsi="Times New Roman"/>
          <w:b/>
          <w:i w:val="0"/>
          <w:sz w:val="22"/>
        </w:rPr>
        <w:t>2.4  Trade Finance and Working Capital Management</w:t>
      </w:r>
    </w:p>
    <w:p>
      <w:pPr>
        <w:spacing w:before="0" w:after="120"/>
      </w:pPr>
      <w:r>
        <w:rPr>
          <w:rFonts w:ascii="Times New Roman" w:hAnsi="Times New Roman"/>
          <w:b w:val="0"/>
          <w:i w:val="0"/>
          <w:sz w:val="22"/>
        </w:rPr>
        <w:t>The academic literature on trade finance instruments [14, 15] documents the structural role of short-duration credit in enabling cross-border trade, but focuses predominantly on established instruments — letters of credit, documentary collections, supply chain finance — that are initiated by trading parties before payment failure occurs. The automated, event-driven liquidity bridging problem — where the advance is triggered by a payment network event in real time after the failure has occurred — has not been addressed in the academic literature. Petersen and Rajan [16] provide foundational analysis of trade credit as a financial intermediation mechanism; their framework for understanding the lender's information advantage over the borrower's trade partner is directly relevant to the information structure of the bridge lending product described here, where the lender has real-time visibility into the settlement status of the collateral that the borrower's bank does not provide to the borrower.</w:t>
      </w:r>
    </w:p>
    <w:p>
      <w:pPr>
        <w:spacing w:before="240" w:after="120"/>
      </w:pPr>
      <w:r>
        <w:rPr>
          <w:rFonts w:ascii="Times New Roman" w:hAnsi="Times New Roman"/>
          <w:b/>
          <w:i w:val="0"/>
          <w:sz w:val="24"/>
        </w:rPr>
        <w:t>3. System Architecture</w:t>
      </w:r>
    </w:p>
    <w:p>
      <w:pPr>
        <w:spacing w:before="0" w:after="120"/>
      </w:pPr>
      <w:r>
        <w:rPr>
          <w:rFonts w:ascii="Times New Roman" w:hAnsi="Times New Roman"/>
          <w:b w:val="0"/>
          <w:i w:val="0"/>
          <w:sz w:val="22"/>
        </w:rPr>
        <w:t>The system processes payment events through a three-stage sequential pipeline. Stage one — the failure prediction engine — consumes a continuous stream of payment status messages from connected payment networks, extracts a structured feature representation from each event, and produces a calibrated probability score indicating the likelihood of settlement failure or significant delay for the associated payment transaction. Stage two — the CVA pricing engine — is activated conditionally on the failure probability score exceeding a cost-optimised threshold, and computes a risk-adjusted bridge loan offer using the tiered probability-of-default framework. Stage three — the bridge execution and settlement monitoring engine — disburses the advance upon acceptance of the offer and maintains a programmatic monitoring relationship with the original payment's UETR until settlement is confirmed or the advance term expires.</w:t>
      </w:r>
    </w:p>
    <w:p>
      <w:pPr>
        <w:spacing w:before="0" w:after="120"/>
      </w:pPr>
      <w:r>
        <w:rPr>
          <w:rFonts w:ascii="Times New Roman" w:hAnsi="Times New Roman"/>
          <w:b w:val="0"/>
          <w:i w:val="0"/>
          <w:sz w:val="22"/>
        </w:rPr>
        <w:t>The architecture follows a functional decomposition in which each stage produces a well-defined output that is the sole input to the next stage. This decomposition reflects an important conceptual distinction between three different kinds of risk that must be assessed independently. Stage one assesses operational risk — the probability that this specific payment will fail to settle as expected. Stage two assesses credit risk — the probability that the borrower will fail to repay the advance from resources other than the delayed payment, in the event that the payment fails permanently. Stage three addresses execution risk — the completeness and auditability of the repayment mechanism. Conflating operational risk with credit risk, as a naive implementation might do by incorporating the failure probability score into the credit pricing formula, produces a systematically overpriced product: a payment that is likely to be delayed is not necessarily issued by a counterparty that is likely to default on an unsecured obligation. The three-stage decomposition maintains the conceptual separation required for accurate pricing.</w:t>
      </w:r>
    </w:p>
    <w:p/>
    <w:tbl>
      <w:tblPr>
        <w:tblStyle w:val="TableGrid"/>
        <w:tblW w:type="auto" w:w="0"/>
        <w:jc w:val="center"/>
        <w:tblLook w:firstColumn="1" w:firstRow="1" w:lastColumn="0" w:lastRow="0" w:noHBand="0" w:noVBand="1" w:val="04A0"/>
      </w:tblPr>
      <w:tblGrid>
        <w:gridCol w:w="8640"/>
      </w:tblGrid>
      <w:tr>
        <w:tc>
          <w:tcPr>
            <w:tcW w:type="dxa" w:w="8640"/>
          </w:tcPr>
          <w:p>
            <w:pPr>
              <w:spacing w:before="40" w:after="80"/>
            </w:pPr>
            <w:r>
              <w:rPr>
                <w:rFonts w:ascii="Times New Roman" w:hAnsi="Times New Roman"/>
                <w:b/>
                <w:i w:val="0"/>
                <w:sz w:val="20"/>
              </w:rPr>
              <w:t>Algorithm 1: End-to-End Pipeline Processing Loop</w:t>
            </w:r>
          </w:p>
          <w:p>
            <w:pPr>
              <w:spacing w:before="0" w:after="0"/>
              <w:ind w:left="0"/>
            </w:pPr>
            <w:r>
              <w:rPr>
                <w:rFonts w:ascii="Courier New" w:hAnsi="Courier New"/>
                <w:b w:val="0"/>
                <w:i w:val="0"/>
                <w:sz w:val="18"/>
              </w:rPr>
              <w:t>INPUT:  continuous payment status event stream S from connected payment networks</w:t>
            </w:r>
          </w:p>
          <w:p>
            <w:pPr>
              <w:spacing w:before="0" w:after="0"/>
              <w:ind w:left="0"/>
            </w:pPr>
            <w:r>
              <w:rPr>
                <w:rFonts w:ascii="Courier New" w:hAnsi="Courier New"/>
                <w:b w:val="0"/>
                <w:i w:val="0"/>
                <w:sz w:val="18"/>
              </w:rPr>
              <w:t>OUTPUT: accepted bridge loan offers, settled repayments, audit records</w:t>
            </w:r>
          </w:p>
          <w:p>
            <w:pPr>
              <w:spacing w:before="0" w:after="0"/>
              <w:ind w:left="0"/>
            </w:pPr>
            <w:r>
              <w:rPr>
                <w:rFonts w:ascii="Courier New" w:hAnsi="Courier New"/>
                <w:b w:val="0"/>
                <w:i w:val="0"/>
                <w:sz w:val="18"/>
              </w:rPr>
            </w:r>
          </w:p>
          <w:p>
            <w:pPr>
              <w:spacing w:before="0" w:after="0"/>
              <w:ind w:left="0"/>
            </w:pPr>
            <w:r>
              <w:rPr>
                <w:rFonts w:ascii="Courier New" w:hAnsi="Courier New"/>
                <w:b w:val="0"/>
                <w:i w:val="0"/>
                <w:sz w:val="18"/>
              </w:rPr>
              <w:t>for each event e in S:</w:t>
            </w:r>
          </w:p>
          <w:p>
            <w:pPr>
              <w:spacing w:before="0" w:after="0"/>
              <w:ind w:left="288"/>
            </w:pPr>
            <w:r>
              <w:rPr>
                <w:rFonts w:ascii="Courier New" w:hAnsi="Courier New"/>
                <w:b w:val="0"/>
                <w:i w:val="0"/>
                <w:sz w:val="18"/>
              </w:rPr>
              <w:t>f  ←  extract_feature_vector(e)               // Section 4.2</w:t>
            </w:r>
          </w:p>
          <w:p>
            <w:pPr>
              <w:spacing w:before="0" w:after="0"/>
              <w:ind w:left="288"/>
            </w:pPr>
            <w:r>
              <w:rPr>
                <w:rFonts w:ascii="Courier New" w:hAnsi="Courier New"/>
                <w:b w:val="0"/>
                <w:i w:val="0"/>
                <w:sz w:val="18"/>
              </w:rPr>
              <w:t>p  ←  predict_failure_probability(f)           // Sections 4.3–4.4</w:t>
            </w:r>
          </w:p>
          <w:p>
            <w:pPr>
              <w:spacing w:before="0" w:after="0"/>
              <w:ind w:left="288"/>
            </w:pPr>
            <w:r>
              <w:rPr>
                <w:rFonts w:ascii="Courier New" w:hAnsi="Courier New"/>
                <w:b w:val="0"/>
                <w:i w:val="0"/>
                <w:sz w:val="18"/>
              </w:rPr>
              <w:t>if p &gt; τ*:                                     // Section 4.5  (τ* = 0.152)</w:t>
            </w:r>
          </w:p>
          <w:p>
            <w:pPr>
              <w:spacing w:before="0" w:after="0"/>
              <w:ind w:left="576"/>
            </w:pPr>
            <w:r>
              <w:rPr>
                <w:rFonts w:ascii="Courier New" w:hAnsi="Courier New"/>
                <w:b w:val="0"/>
                <w:i w:val="0"/>
                <w:sz w:val="18"/>
              </w:rPr>
              <w:t>PD  ←  select_pd_tier(counterparty(e))        // Sections 5.1–5.4</w:t>
            </w:r>
          </w:p>
          <w:p>
            <w:pPr>
              <w:spacing w:before="0" w:after="0"/>
              <w:ind w:left="576"/>
            </w:pPr>
            <w:r>
              <w:rPr>
                <w:rFonts w:ascii="Courier New" w:hAnsi="Courier New"/>
                <w:b w:val="0"/>
                <w:i w:val="0"/>
                <w:sz w:val="18"/>
              </w:rPr>
              <w:t>offer  ←  price_bridge_loan(p, PD, e)         // Section 5.5</w:t>
            </w:r>
          </w:p>
          <w:p>
            <w:pPr>
              <w:spacing w:before="0" w:after="0"/>
              <w:ind w:left="576"/>
            </w:pPr>
            <w:r>
              <w:rPr>
                <w:rFonts w:ascii="Courier New" w:hAnsi="Courier New"/>
                <w:b w:val="0"/>
                <w:i w:val="0"/>
                <w:sz w:val="18"/>
              </w:rPr>
              <w:t>if offer.accepted:</w:t>
            </w:r>
          </w:p>
          <w:p>
            <w:pPr>
              <w:spacing w:before="0" w:after="0"/>
              <w:ind w:left="864"/>
            </w:pPr>
            <w:r>
              <w:rPr>
                <w:rFonts w:ascii="Courier New" w:hAnsi="Courier New"/>
                <w:b w:val="0"/>
                <w:i w:val="0"/>
                <w:sz w:val="18"/>
              </w:rPr>
              <w:t>loan_id  ←  disburse(offer)                  // Section 6.1</w:t>
            </w:r>
          </w:p>
          <w:p>
            <w:pPr>
              <w:spacing w:before="0" w:after="0"/>
              <w:ind w:left="864"/>
            </w:pPr>
            <w:r>
              <w:rPr>
                <w:rFonts w:ascii="Courier New" w:hAnsi="Courier New"/>
                <w:b w:val="0"/>
                <w:i w:val="0"/>
                <w:sz w:val="18"/>
              </w:rPr>
              <w:t>monitor(loan_id, uetr(e))                     // Sections 6.2–6.4</w:t>
            </w:r>
          </w:p>
        </w:tc>
      </w:tr>
    </w:tbl>
    <w:p/>
    <w:p>
      <w:pPr>
        <w:spacing w:before="240" w:after="120"/>
      </w:pPr>
      <w:r>
        <w:rPr>
          <w:rFonts w:ascii="Times New Roman" w:hAnsi="Times New Roman"/>
          <w:b/>
          <w:i w:val="0"/>
          <w:sz w:val="24"/>
        </w:rPr>
        <w:t>4. Component I — Real-Time Failure Prediction Engine</w:t>
      </w:r>
    </w:p>
    <w:p>
      <w:pPr>
        <w:spacing w:before="240" w:after="120"/>
      </w:pPr>
      <w:r>
        <w:rPr>
          <w:rFonts w:ascii="Times New Roman" w:hAnsi="Times New Roman"/>
          <w:b/>
          <w:i w:val="0"/>
          <w:sz w:val="22"/>
        </w:rPr>
        <w:t>4.1  Payment Event Stream Ingestion</w:t>
      </w:r>
    </w:p>
    <w:p>
      <w:pPr>
        <w:spacing w:before="0" w:after="120"/>
      </w:pPr>
      <w:r>
        <w:rPr>
          <w:rFonts w:ascii="Times New Roman" w:hAnsi="Times New Roman"/>
          <w:b w:val="0"/>
          <w:i w:val="0"/>
          <w:sz w:val="22"/>
        </w:rPr>
        <w:t>The failure prediction engine ingests payment status events from three primary source types. ISO 20022 pacs.002 messages provide structured XML rejection notifications containing the original payment instruction reference, the rejection reason code, the rejecting agent's BIC, and the ISO 20022 rejection category. SWIFT gpi UETR tracker updates provide real-time processing status for tracked payments, including the current processing agent, the processing timestamp, and the payment amount confirmed or remaining in transit. Open Banking payment status API callbacks provide equivalent status information for payment networks that expose REST API interfaces rather than ISO 20022 messaging.</w:t>
      </w:r>
    </w:p>
    <w:p>
      <w:pPr>
        <w:spacing w:before="0" w:after="120"/>
      </w:pPr>
      <w:r>
        <w:rPr>
          <w:rFonts w:ascii="Times New Roman" w:hAnsi="Times New Roman"/>
          <w:b w:val="0"/>
          <w:i w:val="0"/>
          <w:sz w:val="22"/>
        </w:rPr>
        <w:t>All three source types are normalised into a common internal event representation before feature extraction, enabling the classifier to operate on a uniform feature space regardless of the originating network. The normalisation layer maps source-specific status codes and categories to a standardised internal taxonomy, with source-specific features retained as additional indicators where they carry predictive value.</w:t>
      </w:r>
    </w:p>
    <w:p>
      <w:pPr>
        <w:spacing w:before="240" w:after="120"/>
      </w:pPr>
      <w:r>
        <w:rPr>
          <w:rFonts w:ascii="Times New Roman" w:hAnsi="Times New Roman"/>
          <w:b/>
          <w:i w:val="0"/>
          <w:sz w:val="22"/>
        </w:rPr>
        <w:t>4.2  Feature Engineering Framework</w:t>
      </w:r>
    </w:p>
    <w:p>
      <w:pPr>
        <w:spacing w:before="0" w:after="120"/>
      </w:pPr>
      <w:r>
        <w:rPr>
          <w:rFonts w:ascii="Times New Roman" w:hAnsi="Times New Roman"/>
          <w:b w:val="0"/>
          <w:i w:val="0"/>
          <w:sz w:val="22"/>
        </w:rPr>
        <w:t>The feature representation for each payment event is constructed from five categories of input signal. Payment processing state features encode the current and historical processing status of the payment, including normalised rejection reason codes, the binary indicator of a current rejection status, the number of prior rejection events in the monitoring window for this payment reference, and the cumulative processing time elapsed since payment initiation. Counterparty performance features encode the historical settlement reliability of the sending counterparty as measured on this system's proprietary performance database; the specific values in this database are not disclosed in this paper as they constitute a trade secret asset accumulated from live deployment data.</w:t>
      </w:r>
    </w:p>
    <w:p>
      <w:pPr>
        <w:spacing w:before="0" w:after="120"/>
      </w:pPr>
      <w:r>
        <w:rPr>
          <w:rFonts w:ascii="Times New Roman" w:hAnsi="Times New Roman"/>
          <w:b w:val="0"/>
          <w:i w:val="0"/>
          <w:sz w:val="22"/>
        </w:rPr>
        <w:t>Corridor and network features encode the structural failure characteristics of the payment corridor — defined as the combination of sending country, receiving country, and currency pair. Temporal risk features encode the time-of-day, day-of-week, and proximity to banking holidays in both jurisdictions, capturing the well-documented increase in settlement failure probability near correspondent bank processing cut-off times. Data quality features encode the completeness and conformance of the payment instruction fields, operationalised as a scalar score derived from a rule-based validation of the structured message. All continuous features are standardised to zero mean and unit variance on the training distribution. Categorical features are encoded using target encoding with leave-one-out smoothing to mitigate leakage on high-cardinality features such as counterparty BIC codes.</w:t>
      </w:r>
    </w:p>
    <w:p>
      <w:pPr>
        <w:spacing w:before="240" w:after="120"/>
      </w:pPr>
      <w:r>
        <w:rPr>
          <w:rFonts w:ascii="Times New Roman" w:hAnsi="Times New Roman"/>
          <w:b/>
          <w:i w:val="0"/>
          <w:sz w:val="22"/>
        </w:rPr>
        <w:t>4.3  Gradient-Boosted Ensemble Classifier</w:t>
      </w:r>
    </w:p>
    <w:p>
      <w:pPr>
        <w:spacing w:before="0" w:after="120"/>
      </w:pPr>
      <w:r>
        <w:rPr>
          <w:rFonts w:ascii="Times New Roman" w:hAnsi="Times New Roman"/>
          <w:b w:val="0"/>
          <w:i w:val="0"/>
          <w:sz w:val="22"/>
        </w:rPr>
        <w:t>The classifier is implemented as a gradient-boosted decision tree ensemble using the LightGBM framework [17], which achieves inference latency competitive with simpler models while maintaining the expressiveness required to capture non-linear interactions between temporal, corridor, and counterparty features. The model is trained on a historical dataset of labelled payment outcome records, where the outcome label is a binary indicator of settlement failure or delay exceeding a defined threshold.</w:t>
      </w:r>
    </w:p>
    <w:p>
      <w:pPr>
        <w:spacing w:before="0" w:after="120"/>
      </w:pPr>
      <w:r>
        <w:rPr>
          <w:rFonts w:ascii="Times New Roman" w:hAnsi="Times New Roman"/>
          <w:b w:val="0"/>
          <w:i w:val="0"/>
          <w:sz w:val="22"/>
        </w:rPr>
        <w:t>Class imbalance — arising from the approximately 3–5% base rate of payment failures — is addressed through scale_pos_weight adjustment rather than resampling, preserving the natural frequency information in the training data while correcting the gradient magnitude imbalance. Model architecture hyperparameters — including number of leaves, minimum child samples, learning rate, and regularisation parameters — are selected via Bayesian optimisation on a held-out validation set, with the optimisation objective defined by the Fβ score.</w:t>
      </w:r>
    </w:p>
    <w:p>
      <w:pPr>
        <w:spacing w:before="240" w:after="120"/>
      </w:pPr>
      <w:r>
        <w:rPr>
          <w:rFonts w:ascii="Times New Roman" w:hAnsi="Times New Roman"/>
          <w:b/>
          <w:i w:val="0"/>
          <w:sz w:val="22"/>
        </w:rPr>
        <w:t>4.4  Probability Calibration</w:t>
      </w:r>
    </w:p>
    <w:p>
      <w:pPr>
        <w:spacing w:before="0" w:after="120"/>
      </w:pPr>
      <w:r>
        <w:rPr>
          <w:rFonts w:ascii="Times New Roman" w:hAnsi="Times New Roman"/>
          <w:b w:val="0"/>
          <w:i w:val="0"/>
          <w:sz w:val="22"/>
        </w:rPr>
        <w:t>Raw gradient-boosted model outputs are monotonic relative probability scores rather than calibrated probabilities. Platt scaling [18] and isotonic regression [19] are evaluated as calibration methods; isotonic regression produces superior calibration on the payment failure distribution, as measured by the expected calibration error (ECE) on the validation set. The isotonic calibration layer maps the raw model score to a calibrated probability estimate that can be interpreted as the posterior probability of settlement failure given the observed feature vector.</w:t>
      </w:r>
    </w:p>
    <w:p>
      <w:pPr>
        <w:spacing w:before="0" w:after="120"/>
      </w:pPr>
      <w:r>
        <w:rPr>
          <w:rFonts w:ascii="Times New Roman" w:hAnsi="Times New Roman"/>
          <w:b w:val="0"/>
          <w:i w:val="0"/>
          <w:sz w:val="22"/>
        </w:rPr>
        <w:t>Calibration quality is critical for the pricing application in Stage 2. An uncalibrated classifier that assigns a score of 0.7 to two payments where one has a true failure probability of 0.4 and the other of 0.85 will cause the pricing engine to apply the same expected loss to materially different risk positions. The isotonic calibration step ensures that the probability output is a reliable input to the CVA computation.</w:t>
      </w:r>
    </w:p>
    <w:p>
      <w:pPr>
        <w:spacing w:before="240" w:after="120"/>
      </w:pPr>
      <w:r>
        <w:rPr>
          <w:rFonts w:ascii="Times New Roman" w:hAnsi="Times New Roman"/>
          <w:b/>
          <w:i w:val="0"/>
          <w:sz w:val="22"/>
        </w:rPr>
        <w:t>4.5  Cost-Asymmetric Threshold Optimisation</w:t>
      </w:r>
    </w:p>
    <w:p>
      <w:pPr>
        <w:spacing w:before="0" w:after="120"/>
      </w:pPr>
      <w:r>
        <w:rPr>
          <w:rFonts w:ascii="Times New Roman" w:hAnsi="Times New Roman"/>
          <w:b w:val="0"/>
          <w:i w:val="0"/>
          <w:sz w:val="22"/>
        </w:rPr>
        <w:t>Standard binary classification thresholds are set at 0.5 under a symmetric cost assumption. In the payment bridging application, the costs of false negatives and false positives are asymmetric. A false negative — a payment that fails but is not flagged — results in no bridge loan offer being made, and the receiving business experiences the full economic cost of the working capital gap. A false positive — a payment that settles successfully but was flagged — results in a bridge loan offer that the business will decline upon receiving the original payment, with near-zero direct cost. This asymmetry is formalised using the Fβ score with β = 2, which weights recall twice as heavily as precision:</w:t>
      </w:r>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Fβ = (1 + β²) · (precision · recall) / (β² · precision + recall) ,   β = 2</w:t>
            </w:r>
          </w:p>
        </w:tc>
        <w:tc>
          <w:tcPr>
            <w:tcW w:type="dxa" w:w="2880"/>
          </w:tcPr>
          <w:p>
            <w:pPr>
              <w:spacing w:before="80" w:after="80"/>
              <w:jc w:val="right"/>
            </w:pPr>
            <w:r>
              <w:rPr>
                <w:rFonts w:ascii="Times New Roman" w:hAnsi="Times New Roman"/>
                <w:b w:val="0"/>
                <w:i w:val="0"/>
                <w:sz w:val="22"/>
              </w:rPr>
              <w:t>(1)</w:t>
            </w:r>
          </w:p>
        </w:tc>
      </w:tr>
    </w:tbl>
    <w:p/>
    <w:p>
      <w:pPr>
        <w:spacing w:before="0" w:after="120"/>
      </w:pPr>
      <w:r>
        <w:rPr>
          <w:rFonts w:ascii="Times New Roman" w:hAnsi="Times New Roman"/>
          <w:b w:val="0"/>
          <w:i w:val="0"/>
          <w:sz w:val="22"/>
        </w:rPr>
        <w:t>The cost-optimised threshold τ* is selected as the decision boundary that maximises Equation (1) on the validation set. For the trained model described in Section 7, τ* = 0.152, reflecting the highly imbalanced cost structure: the system accepts a non-trivial false positive rate in order to maintain high recall on genuine failures. This threshold is not a hyperparameter in the conventional sense — it is a policy choice that encodes the relative cost of the two error types, and should be updated if the operational cost structure changes.</w:t>
      </w:r>
    </w:p>
    <w:p>
      <w:pPr>
        <w:spacing w:before="240" w:after="120"/>
      </w:pPr>
      <w:r>
        <w:rPr>
          <w:rFonts w:ascii="Times New Roman" w:hAnsi="Times New Roman"/>
          <w:b/>
          <w:i w:val="0"/>
          <w:sz w:val="22"/>
        </w:rPr>
        <w:t>4.6  Interpretability via SHAP Attribution</w:t>
      </w:r>
    </w:p>
    <w:p>
      <w:pPr>
        <w:spacing w:before="0" w:after="120"/>
      </w:pPr>
      <w:r>
        <w:rPr>
          <w:rFonts w:ascii="Times New Roman" w:hAnsi="Times New Roman"/>
          <w:b w:val="0"/>
          <w:i w:val="0"/>
          <w:sz w:val="22"/>
        </w:rPr>
        <w:t>Shapley additive explanations (SHAP) [20] are computed for each prediction, providing a decomposition of the model output into additive contributions from individual features. The SHAP values are exposed in the system output alongside the probability score, serving two functions. First, they provide a regulatory audit trail that explains the basis for each lending decision, supporting compliance with model risk management requirements. Second, they identify the dominant risk signals for each specific payment, enabling the receiving business to understand why a bridge loan was offered and what remediation might resolve the underlying payment delay.</w:t>
      </w:r>
    </w:p>
    <w:p>
      <w:pPr>
        <w:spacing w:before="240" w:after="120"/>
      </w:pPr>
      <w:r>
        <w:rPr>
          <w:rFonts w:ascii="Times New Roman" w:hAnsi="Times New Roman"/>
          <w:b/>
          <w:i w:val="0"/>
          <w:sz w:val="24"/>
        </w:rPr>
        <w:t>5. Component II — Tiered Probability-of-Default Framework</w:t>
      </w:r>
    </w:p>
    <w:p>
      <w:pPr>
        <w:spacing w:before="0" w:after="120"/>
      </w:pPr>
      <w:r>
        <w:rPr>
          <w:rFonts w:ascii="Times New Roman" w:hAnsi="Times New Roman"/>
          <w:b w:val="0"/>
          <w:i w:val="0"/>
          <w:sz w:val="22"/>
        </w:rPr>
        <w:t>The pricing of the bridge loan requires an estimate of the probability that the borrowing entity will fail to repay the advance from resources other than the delayed payment proceeds — the credit risk component of the transaction. This is distinct from the operational risk assessed in Stage 1 (the probability that the underlying payment will permanently fail). Even if the underlying payment never settles, a creditworthy borrower can repay from other funds; conversely, an insolvent borrower cannot repay even if the payment eventually settles but is redirected before the lender's security interest can be enforced.</w:t>
      </w:r>
    </w:p>
    <w:p>
      <w:pPr>
        <w:spacing w:before="0" w:after="120"/>
      </w:pPr>
      <w:r>
        <w:rPr>
          <w:rFonts w:ascii="Times New Roman" w:hAnsi="Times New Roman"/>
          <w:b w:val="0"/>
          <w:i w:val="0"/>
          <w:sz w:val="22"/>
        </w:rPr>
        <w:t>The central challenge in counterparty credit assessment for mid-market cross-border trade finance is data heterogeneity: some counterparties are publicly listed companies with observable equity market data; others are private companies with audited financial statements; others are small or emerging-market businesses with limited financial disclosure. A single credit risk methodology cannot be applied uniformly across this population. The tiered framework selects the appropriate estimation method based on the data available for each specific counterparty.</w:t>
      </w:r>
    </w:p>
    <w:p>
      <w:pPr>
        <w:spacing w:before="240" w:after="120"/>
      </w:pPr>
      <w:r>
        <w:rPr>
          <w:rFonts w:ascii="Times New Roman" w:hAnsi="Times New Roman"/>
          <w:b/>
          <w:i w:val="0"/>
          <w:sz w:val="22"/>
        </w:rPr>
        <w:t>5.1  Tier Selection Logic</w:t>
      </w:r>
    </w:p>
    <w:p>
      <w:pPr>
        <w:spacing w:before="0" w:after="120"/>
      </w:pPr>
      <w:r>
        <w:rPr>
          <w:rFonts w:ascii="Times New Roman" w:hAnsi="Times New Roman"/>
          <w:b w:val="0"/>
          <w:i w:val="0"/>
          <w:sz w:val="22"/>
        </w:rPr>
        <w:t>Counterparties are assigned to one of three tiers at the time of each bridge loan assessment based on the data available in the system's counterparty database and from API-accessible financial data sources. Tier 1 is assigned to counterparties with observable equity market data — specifically, current equity share price and equity price volatility derivable from listed market data. Tier 2 is assigned to counterparties with available balance sheet data but without observable equity prices — the typical profile of a private company that files accounts with a national companies registry. Tier 3 is assigned to counterparties with limited financial data, where only basic financial ratios can be estimated from available sources. The tier assignment is deterministic given the data availability state and is recorded in the loan audit record.</w:t>
      </w:r>
    </w:p>
    <w:p>
      <w:pPr>
        <w:spacing w:before="240" w:after="120"/>
      </w:pPr>
      <w:r>
        <w:rPr>
          <w:rFonts w:ascii="Times New Roman" w:hAnsi="Times New Roman"/>
          <w:b/>
          <w:i w:val="0"/>
          <w:sz w:val="22"/>
        </w:rPr>
        <w:t>5.2  Tier 1 — Structural Model for Listed Counterparties</w:t>
      </w:r>
    </w:p>
    <w:p>
      <w:pPr>
        <w:spacing w:before="0" w:after="120"/>
      </w:pPr>
      <w:r>
        <w:rPr>
          <w:rFonts w:ascii="Times New Roman" w:hAnsi="Times New Roman"/>
          <w:b w:val="0"/>
          <w:i w:val="0"/>
          <w:sz w:val="22"/>
        </w:rPr>
        <w:t>For Tier 1 counterparties, the probability of default is estimated using a structural credit risk model in the tradition of Merton [8] and the KMV operationalisation of Crosbie and Bohn [10]. The model treats the company's equity as a call option on its asset value with a strike price equal to its total debt obligations, and derives the implied asset value V_A and asset volatility σ_A from the observable equity value V_E and equity volatility σ_E via the Black-Scholes-Merton option pricing relationships:</w:t>
      </w:r>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V_E = V_A · N(d₁) − D · e^(−rT) · N(d₂)</w:t>
            </w:r>
          </w:p>
        </w:tc>
        <w:tc>
          <w:tcPr>
            <w:tcW w:type="dxa" w:w="2880"/>
          </w:tcPr>
          <w:p>
            <w:pPr>
              <w:spacing w:before="80" w:after="80"/>
              <w:jc w:val="right"/>
            </w:pPr>
            <w:r>
              <w:rPr>
                <w:rFonts w:ascii="Times New Roman" w:hAnsi="Times New Roman"/>
                <w:b w:val="0"/>
                <w:i w:val="0"/>
                <w:sz w:val="22"/>
              </w:rPr>
              <w:t>(2)</w:t>
            </w:r>
          </w:p>
        </w:tc>
      </w:tr>
    </w:tbl>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σ_E · V_E = N(d₁) · σ_A · V_A</w:t>
            </w:r>
          </w:p>
        </w:tc>
        <w:tc>
          <w:tcPr>
            <w:tcW w:type="dxa" w:w="2880"/>
          </w:tcPr>
          <w:p>
            <w:pPr>
              <w:spacing w:before="80" w:after="80"/>
              <w:jc w:val="right"/>
            </w:pPr>
            <w:r>
              <w:rPr>
                <w:rFonts w:ascii="Times New Roman" w:hAnsi="Times New Roman"/>
                <w:b w:val="0"/>
                <w:i w:val="0"/>
                <w:sz w:val="22"/>
              </w:rPr>
              <w:t>(3)</w:t>
            </w:r>
          </w:p>
        </w:tc>
      </w:tr>
    </w:tbl>
    <w:p/>
    <w:p>
      <w:pPr>
        <w:spacing w:before="0" w:after="120"/>
      </w:pPr>
      <w:r>
        <w:rPr>
          <w:rFonts w:ascii="Times New Roman" w:hAnsi="Times New Roman"/>
          <w:b w:val="0"/>
          <w:i w:val="0"/>
          <w:sz w:val="22"/>
        </w:rPr>
        <w:t>where D is total debt, r is the risk-free rate, T is the time horizon of the advance, and N(·) is the standard normal CDF. The distance-to-default intermediates d₁ and d₂ are given by:</w:t>
      </w:r>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d₁ = [ ln(V_A / D) + (r + σ_A² / 2) · T ] / (σ_A · √T)</w:t>
            </w:r>
          </w:p>
        </w:tc>
        <w:tc>
          <w:tcPr>
            <w:tcW w:type="dxa" w:w="2880"/>
          </w:tcPr>
          <w:p>
            <w:pPr>
              <w:spacing w:before="80" w:after="80"/>
              <w:jc w:val="right"/>
            </w:pPr>
            <w:r>
              <w:rPr>
                <w:rFonts w:ascii="Times New Roman" w:hAnsi="Times New Roman"/>
                <w:b w:val="0"/>
                <w:i w:val="0"/>
                <w:sz w:val="22"/>
              </w:rPr>
              <w:t>(4)</w:t>
            </w:r>
          </w:p>
        </w:tc>
      </w:tr>
    </w:tbl>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d₂ = d₁ − σ_A · √T</w:t>
            </w:r>
          </w:p>
        </w:tc>
        <w:tc>
          <w:tcPr>
            <w:tcW w:type="dxa" w:w="2880"/>
          </w:tcPr>
          <w:p>
            <w:pPr>
              <w:spacing w:before="80" w:after="80"/>
              <w:jc w:val="right"/>
            </w:pPr>
            <w:r>
              <w:rPr>
                <w:rFonts w:ascii="Times New Roman" w:hAnsi="Times New Roman"/>
                <w:b w:val="0"/>
                <w:i w:val="0"/>
                <w:sz w:val="22"/>
              </w:rPr>
              <w:t>(5)</w:t>
            </w:r>
          </w:p>
        </w:tc>
      </w:tr>
    </w:tbl>
    <w:p/>
    <w:p>
      <w:pPr>
        <w:spacing w:before="0" w:after="120"/>
      </w:pPr>
      <w:r>
        <w:rPr>
          <w:rFonts w:ascii="Times New Roman" w:hAnsi="Times New Roman"/>
          <w:b w:val="0"/>
          <w:i w:val="0"/>
          <w:sz w:val="22"/>
        </w:rPr>
        <w:t>The probability of default over the advance horizon is estimated as PD = N(−d₂), following the standard structural model interpretation. The system solves V_A and σ_A iteratively from Equations (2) and (3) given observable inputs V_E and σ_E. The risk-free rate is sourced from the contemporaneous yield on government securities in the base currency of the advance.</w:t>
      </w:r>
    </w:p>
    <w:p>
      <w:pPr>
        <w:spacing w:before="240" w:after="120"/>
      </w:pPr>
      <w:r>
        <w:rPr>
          <w:rFonts w:ascii="Times New Roman" w:hAnsi="Times New Roman"/>
          <w:b/>
          <w:i w:val="0"/>
          <w:sz w:val="22"/>
        </w:rPr>
        <w:t>5.3  Tier 2 — Proxy Structural Model for Private Counterparties</w:t>
      </w:r>
    </w:p>
    <w:p>
      <w:pPr>
        <w:spacing w:before="0" w:after="120"/>
      </w:pPr>
      <w:r>
        <w:rPr>
          <w:rFonts w:ascii="Times New Roman" w:hAnsi="Times New Roman"/>
          <w:b w:val="0"/>
          <w:i w:val="0"/>
          <w:sz w:val="22"/>
        </w:rPr>
        <w:t>Private companies do not have observable equity prices, making the iterative solution of Equations (2)–(3) infeasible without modification. The proxy structural model addresses this by substituting a sector-median asset volatility estimate for the unobservable σ_A input. The sector classification of the counterparty is determined from the SIC or NACE code recorded in available registry or trade documentation data. The asset value V_A is approximated by total assets from the most recent available balance sheet.</w:t>
      </w:r>
    </w:p>
    <w:p>
      <w:pPr>
        <w:spacing w:before="0" w:after="120"/>
      </w:pPr>
      <w:r>
        <w:rPr>
          <w:rFonts w:ascii="Times New Roman" w:hAnsi="Times New Roman"/>
          <w:b w:val="0"/>
          <w:i w:val="0"/>
          <w:sz w:val="22"/>
        </w:rPr>
        <w:t>The sector-median asset volatility estimates used in the system's production deployment are derived from proprietary analysis of trade finance default outcomes accumulated during live deployment and are not disclosed in this paper. Practitioners seeking to implement this tier may use sector-median asset volatility estimates from published academic databases — Damodaran's annual industry asset volatility compilation [21] provides a widely used baseline — with the understanding that estimates calibrated to the specific counterparty population of cross-border mid-market trade will produce superior pricing accuracy. Once σ_A is fixed at the sector median and V_A is set to total assets, Equations (4)–(5) yield the distance to default and PD = N(−d₂) as before.</w:t>
      </w:r>
    </w:p>
    <w:p>
      <w:pPr>
        <w:spacing w:before="0" w:after="120"/>
      </w:pPr>
      <w:r>
        <w:rPr>
          <w:rFonts w:ascii="Times New Roman" w:hAnsi="Times New Roman"/>
          <w:b w:val="0"/>
          <w:i w:val="0"/>
          <w:sz w:val="22"/>
        </w:rPr>
        <w:t>The proxy model introduces a systematic approximation error relative to the Tier 1 model, arising both from the asset value approximation and from the use of a sector median rather than firm-specific volatility. Empirical validation on the deployment dataset confirms that this approximation error produces conservative (upward-biased) PD estimates for counterparties with relatively strong balance sheets, and that the direction of bias is appropriate for a lending product — it causes the system to price in slightly more credit risk than the true figure, rather than less.</w:t>
      </w:r>
    </w:p>
    <w:p>
      <w:pPr>
        <w:spacing w:before="240" w:after="120"/>
      </w:pPr>
      <w:r>
        <w:rPr>
          <w:rFonts w:ascii="Times New Roman" w:hAnsi="Times New Roman"/>
          <w:b/>
          <w:i w:val="0"/>
          <w:sz w:val="22"/>
        </w:rPr>
        <w:t>5.4  Tier 3 — Reduced-Form Model for Data-Sparse Counterparties</w:t>
      </w:r>
    </w:p>
    <w:p>
      <w:pPr>
        <w:spacing w:before="0" w:after="120"/>
      </w:pPr>
      <w:r>
        <w:rPr>
          <w:rFonts w:ascii="Times New Roman" w:hAnsi="Times New Roman"/>
          <w:b w:val="0"/>
          <w:i w:val="0"/>
          <w:sz w:val="22"/>
        </w:rPr>
        <w:t>For counterparties with insufficient data for structural model application, the system applies the Altman Z'-score discriminant [13], which is calibrated for private companies and requires only five financial ratios derivable from basic financial statements. The Z'-score is computed as:</w:t>
      </w:r>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Z' = 0.717·X₁ + 0.847·X₂ + 3.107·X₃ + 0.420·X₄ + 0.998·X₅</w:t>
            </w:r>
          </w:p>
        </w:tc>
        <w:tc>
          <w:tcPr>
            <w:tcW w:type="dxa" w:w="2880"/>
          </w:tcPr>
          <w:p>
            <w:pPr>
              <w:spacing w:before="80" w:after="80"/>
              <w:jc w:val="right"/>
            </w:pPr>
            <w:r>
              <w:rPr>
                <w:rFonts w:ascii="Times New Roman" w:hAnsi="Times New Roman"/>
                <w:b w:val="0"/>
                <w:i w:val="0"/>
                <w:sz w:val="22"/>
              </w:rPr>
              <w:t>(6)</w:t>
            </w:r>
          </w:p>
        </w:tc>
      </w:tr>
    </w:tbl>
    <w:p/>
    <w:p>
      <w:pPr>
        <w:spacing w:before="0" w:after="120"/>
      </w:pPr>
      <w:r>
        <w:rPr>
          <w:rFonts w:ascii="Times New Roman" w:hAnsi="Times New Roman"/>
          <w:b w:val="0"/>
          <w:i w:val="0"/>
          <w:sz w:val="22"/>
        </w:rPr>
        <w:t>where X₁ = working capital / total assets, X₂ = retained earnings / total assets, X₃ = EBIT / total assets, X₄ = book value of equity / total liabilities, and X₅ = sales / total assets.</w:t>
      </w:r>
    </w:p>
    <w:p>
      <w:pPr>
        <w:spacing w:before="0" w:after="120"/>
      </w:pPr>
      <w:r>
        <w:rPr>
          <w:rFonts w:ascii="Times New Roman" w:hAnsi="Times New Roman"/>
          <w:b w:val="0"/>
          <w:i w:val="0"/>
          <w:sz w:val="22"/>
        </w:rPr>
        <w:t>The Z'-score is mapped to a one-year probability of default using historical default rate tables for corresponding Z'-score ranges published by rating agency research. For the short advance durations typical of payment bridging (one to fourteen days), the one-year PD is scaled to the advance duration using a hazard rate model under the assumption of a constant default intensity over short horizons:</w:t>
      </w:r>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PD(T) = 1 − exp(−λ · T) ,   where  λ = −ln(1 − PD_annual)</w:t>
            </w:r>
          </w:p>
        </w:tc>
        <w:tc>
          <w:tcPr>
            <w:tcW w:type="dxa" w:w="2880"/>
          </w:tcPr>
          <w:p>
            <w:pPr>
              <w:spacing w:before="80" w:after="80"/>
              <w:jc w:val="right"/>
            </w:pPr>
            <w:r>
              <w:rPr>
                <w:rFonts w:ascii="Times New Roman" w:hAnsi="Times New Roman"/>
                <w:b w:val="0"/>
                <w:i w:val="0"/>
                <w:sz w:val="22"/>
              </w:rPr>
              <w:t>(7)</w:t>
            </w:r>
          </w:p>
        </w:tc>
      </w:tr>
    </w:tbl>
    <w:p/>
    <w:p>
      <w:pPr>
        <w:spacing w:before="0" w:after="120"/>
      </w:pPr>
      <w:r>
        <w:rPr>
          <w:rFonts w:ascii="Times New Roman" w:hAnsi="Times New Roman"/>
          <w:b w:val="0"/>
          <w:i w:val="0"/>
          <w:sz w:val="22"/>
        </w:rPr>
        <w:t>This scaling is a standard actuarial approximation that is accurate for short horizons (T &lt;&lt; 1 year) where the linear approximation PD(T) ≈ λ·T holds with negligible error.</w:t>
      </w:r>
    </w:p>
    <w:p>
      <w:pPr>
        <w:spacing w:before="240" w:after="120"/>
      </w:pPr>
      <w:r>
        <w:rPr>
          <w:rFonts w:ascii="Times New Roman" w:hAnsi="Times New Roman"/>
          <w:b/>
          <w:i w:val="0"/>
          <w:sz w:val="22"/>
        </w:rPr>
        <w:t>5.5  CVA-Based Bridge Loan Pricing</w:t>
      </w:r>
    </w:p>
    <w:p>
      <w:pPr>
        <w:spacing w:before="0" w:after="120"/>
      </w:pPr>
      <w:r>
        <w:rPr>
          <w:rFonts w:ascii="Times New Roman" w:hAnsi="Times New Roman"/>
          <w:b w:val="0"/>
          <w:i w:val="0"/>
          <w:sz w:val="22"/>
        </w:rPr>
        <w:t>Given the tier-appropriate probability of default PD, the bridge loan pricing is derived from the credit valuation adjustment (CVA) framework [22]. The expected loss on the advance is:</w:t>
      </w:r>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EL = PD(T) · EAD · LGD · DF(T)</w:t>
            </w:r>
          </w:p>
        </w:tc>
        <w:tc>
          <w:tcPr>
            <w:tcW w:type="dxa" w:w="2880"/>
          </w:tcPr>
          <w:p>
            <w:pPr>
              <w:spacing w:before="80" w:after="80"/>
              <w:jc w:val="right"/>
            </w:pPr>
            <w:r>
              <w:rPr>
                <w:rFonts w:ascii="Times New Roman" w:hAnsi="Times New Roman"/>
                <w:b w:val="0"/>
                <w:i w:val="0"/>
                <w:sz w:val="22"/>
              </w:rPr>
              <w:t>(8)</w:t>
            </w:r>
          </w:p>
        </w:tc>
      </w:tr>
    </w:tbl>
    <w:p/>
    <w:p>
      <w:pPr>
        <w:spacing w:before="0" w:after="120"/>
      </w:pPr>
      <w:r>
        <w:rPr>
          <w:rFonts w:ascii="Times New Roman" w:hAnsi="Times New Roman"/>
          <w:b w:val="0"/>
          <w:i w:val="0"/>
          <w:sz w:val="22"/>
        </w:rPr>
        <w:t>where EAD is the exposure at default (the advance amount), LGD is the loss-given-default (the fraction of the advance that would not be recovered in the event of borrower default), and DF(T) is the discount factor for the advance duration. LGD reflects the recovery value of the collateral package — the legal assignment of the delayed payment receivable — with a floor to account for the possibility that the original payment also fails permanently. Specific LGD values by industry sector and currency corridor are proprietary calibrations not disclosed in this paper.</w:t>
      </w:r>
    </w:p>
    <w:p>
      <w:pPr>
        <w:spacing w:before="0" w:after="120"/>
      </w:pPr>
      <w:r>
        <w:rPr>
          <w:rFonts w:ascii="Times New Roman" w:hAnsi="Times New Roman"/>
          <w:b w:val="0"/>
          <w:i w:val="0"/>
          <w:sz w:val="22"/>
        </w:rPr>
        <w:t>The all-in annual percentage rate (APR) offered on the bridge loan is derived from the expected loss as a proportion of the advance amount, scaled to annual rate, with a spread to cover funding cost and an origination margin:</w:t>
      </w:r>
    </w:p>
    <w:tbl>
      <w:tblPr>
        <w:tblW w:type="auto" w:w="0"/>
        <w:jc w:val="center"/>
        <w:tblLook w:firstColumn="1" w:firstRow="1" w:lastColumn="0" w:lastRow="0" w:noHBand="0" w:noVBand="1" w:val="04A0"/>
      </w:tblPr>
      <w:tblGrid>
        <w:gridCol w:w="720"/>
        <w:gridCol w:w="7200"/>
        <w:gridCol w:w="1152"/>
      </w:tblGrid>
      <w:tr>
        <w:tc>
          <w:tcPr>
            <w:tcW w:type="dxa" w:w="2880"/>
          </w:tcPr>
          <w:p>
            <w:pPr>
              <w:spacing w:before="80" w:after="80"/>
            </w:pPr>
          </w:p>
        </w:tc>
        <w:tc>
          <w:tcPr>
            <w:tcW w:type="dxa" w:w="2880"/>
          </w:tcPr>
          <w:p>
            <w:pPr>
              <w:spacing w:before="80" w:after="80"/>
              <w:jc w:val="center"/>
            </w:pPr>
            <w:r>
              <w:rPr>
                <w:rFonts w:ascii="Times New Roman" w:hAnsi="Times New Roman"/>
                <w:b w:val="0"/>
                <w:i/>
                <w:sz w:val="22"/>
              </w:rPr>
              <w:t>APR = (EL / EAD) / T + r_funding + margin</w:t>
            </w:r>
          </w:p>
        </w:tc>
        <w:tc>
          <w:tcPr>
            <w:tcW w:type="dxa" w:w="2880"/>
          </w:tcPr>
          <w:p>
            <w:pPr>
              <w:spacing w:before="80" w:after="80"/>
              <w:jc w:val="right"/>
            </w:pPr>
            <w:r>
              <w:rPr>
                <w:rFonts w:ascii="Times New Roman" w:hAnsi="Times New Roman"/>
                <w:b w:val="0"/>
                <w:i w:val="0"/>
                <w:sz w:val="22"/>
              </w:rPr>
              <w:t>(9)</w:t>
            </w:r>
          </w:p>
        </w:tc>
      </w:tr>
    </w:tbl>
    <w:p/>
    <w:p>
      <w:pPr>
        <w:spacing w:before="0" w:after="120"/>
      </w:pPr>
      <w:r>
        <w:rPr>
          <w:rFonts w:ascii="Times New Roman" w:hAnsi="Times New Roman"/>
          <w:b w:val="0"/>
          <w:i w:val="0"/>
          <w:sz w:val="22"/>
        </w:rPr>
        <w:t>This pricing approach has the important property that the cost of the bridge loan is derived entirely from observable or estimable financial characteristics of the specific transaction and counterparty, without assuming an external credit spread as an input. The credit spread is an output of the computation rather than an assumption fed into it — a distinction that is commercially significant because it allows the system to price competitively for high-quality counterparties while pricing appropriately for lower-quality counterparties.</w:t>
      </w:r>
    </w:p>
    <w:p>
      <w:pPr>
        <w:spacing w:before="240" w:after="120"/>
      </w:pPr>
      <w:r>
        <w:rPr>
          <w:rFonts w:ascii="Times New Roman" w:hAnsi="Times New Roman"/>
          <w:b/>
          <w:i w:val="0"/>
          <w:sz w:val="24"/>
        </w:rPr>
        <w:t>6. Component III — Settlement-Confirmation Auto-Repayment Loop</w:t>
      </w:r>
    </w:p>
    <w:p>
      <w:pPr>
        <w:spacing w:before="240" w:after="120"/>
      </w:pPr>
      <w:r>
        <w:rPr>
          <w:rFonts w:ascii="Times New Roman" w:hAnsi="Times New Roman"/>
          <w:b/>
          <w:i w:val="0"/>
          <w:sz w:val="22"/>
        </w:rPr>
        <w:t>6.1  UETR Monitoring Architecture</w:t>
      </w:r>
    </w:p>
    <w:p>
      <w:pPr>
        <w:spacing w:before="0" w:after="120"/>
      </w:pPr>
      <w:r>
        <w:rPr>
          <w:rFonts w:ascii="Times New Roman" w:hAnsi="Times New Roman"/>
          <w:b w:val="0"/>
          <w:i w:val="0"/>
          <w:sz w:val="22"/>
        </w:rPr>
        <w:t>Upon acceptance and disbursement of a bridge loan, the execution engine establishes a programmatic monitoring relationship between the disbursed advance record and the UETR of the original delayed payment transaction. The UETR — a universally unique transaction reference assigned by SWIFT gpi to each tracked payment — persists across all hops in the correspondent chain and is included in all gpi status update messages throughout the payment's lifecycle. By binding the loan record to the UETR, the system can monitor the original payment's processing status in real time through the same gpi event stream used by the failure prediction engine.</w:t>
      </w:r>
    </w:p>
    <w:p>
      <w:pPr>
        <w:spacing w:before="0" w:after="120"/>
      </w:pPr>
      <w:r>
        <w:rPr>
          <w:rFonts w:ascii="Times New Roman" w:hAnsi="Times New Roman"/>
          <w:b w:val="0"/>
          <w:i w:val="0"/>
          <w:sz w:val="22"/>
        </w:rPr>
        <w:t>The monitoring relationship is recorded in a persistent loan ledger that stores, for each active advance: the loan identifier, the UETR of the underlying payment, the disbursement amount and timestamp, the applicable APR and advance term, the legal instrument details of the security interest established in the receivable, and the repayment collection parameters including the collection mechanism and fallback recovery procedure.</w:t>
      </w:r>
    </w:p>
    <w:p>
      <w:pPr>
        <w:spacing w:before="240" w:after="120"/>
      </w:pPr>
      <w:r>
        <w:rPr>
          <w:rFonts w:ascii="Times New Roman" w:hAnsi="Times New Roman"/>
          <w:b/>
          <w:i w:val="0"/>
          <w:sz w:val="22"/>
        </w:rPr>
        <w:t>6.2  Settlement Detection and Automatic Repayment Trigger</w:t>
      </w:r>
    </w:p>
    <w:p>
      <w:pPr>
        <w:spacing w:before="0" w:after="120"/>
      </w:pPr>
      <w:r>
        <w:rPr>
          <w:rFonts w:ascii="Times New Roman" w:hAnsi="Times New Roman"/>
          <w:b w:val="0"/>
          <w:i w:val="0"/>
          <w:sz w:val="22"/>
        </w:rPr>
        <w:t>The settlement monitoring component subscribes to all gpi status update events in the monitored payment event stream. For each event, it evaluates whether the event carries a settlement confirmation indicator for any UETR that is currently bound to an active advance record. Under the SWIFT gpi status taxonomy, settlement confirmation is indicated by a pacs.002 message bearing the status code ACSC (accepted settlement completed) or an equivalent network-specific settled status code. The ACSP (accepted settlement in process) and PART (partially accepted) codes indicate processing progress and are recorded as intermediate status updates but do not trigger repayment collection.</w:t>
      </w:r>
    </w:p>
    <w:p>
      <w:pPr>
        <w:spacing w:before="0" w:after="120"/>
      </w:pPr>
      <w:r>
        <w:rPr>
          <w:rFonts w:ascii="Times New Roman" w:hAnsi="Times New Roman"/>
          <w:b w:val="0"/>
          <w:i w:val="0"/>
          <w:sz w:val="22"/>
        </w:rPr>
        <w:t>Upon detection of a settlement confirmation event for a monitored UETR, the system automatically initiates the repayment collection workflow without operator instruction. The entire detection-to-collection sequence is executed without human intervention, satisfying the operational requirement for a fully automated repayment loop.</w:t>
      </w:r>
    </w:p>
    <w:p>
      <w:pPr>
        <w:spacing w:before="240" w:after="120"/>
      </w:pPr>
      <w:r>
        <w:rPr>
          <w:rFonts w:ascii="Times New Roman" w:hAnsi="Times New Roman"/>
          <w:b/>
          <w:i w:val="0"/>
          <w:sz w:val="22"/>
        </w:rPr>
        <w:t>6.3  Permanent Failure Recovery Pathway</w:t>
      </w:r>
    </w:p>
    <w:p>
      <w:pPr>
        <w:spacing w:before="0" w:after="120"/>
      </w:pPr>
      <w:r>
        <w:rPr>
          <w:rFonts w:ascii="Times New Roman" w:hAnsi="Times New Roman"/>
          <w:b w:val="0"/>
          <w:i w:val="0"/>
          <w:sz w:val="22"/>
        </w:rPr>
        <w:t>If the original payment transitions to a terminal failure state — indicated by a pacs.002 message bearing a rejection code that the system classifies as permanent, or by the expiry of the advance term without settlement confirmation — the system activates an alternative recovery workflow. This workflow enforces the security interest established at disbursement: the legal assignment of the payment receivable from the borrower to the lender executed as a condition of the advance. Under the receivable assignment, the lender holds a direct claim against the original payment sender, enabling recovery through collections or legal process independent of the borrower's solvency. The specific structure of the security interest and the details of the recoverable assignment involve jurisdiction-specific legal considerations beyond the scope of this technical paper.</w:t>
      </w:r>
    </w:p>
    <w:p>
      <w:pPr>
        <w:spacing w:before="240" w:after="120"/>
      </w:pPr>
      <w:r>
        <w:rPr>
          <w:rFonts w:ascii="Times New Roman" w:hAnsi="Times New Roman"/>
          <w:b/>
          <w:i w:val="0"/>
          <w:sz w:val="22"/>
        </w:rPr>
        <w:t>6.4  Audit Record Generation</w:t>
      </w:r>
    </w:p>
    <w:p>
      <w:pPr>
        <w:spacing w:before="0" w:after="120"/>
      </w:pPr>
      <w:r>
        <w:rPr>
          <w:rFonts w:ascii="Times New Roman" w:hAnsi="Times New Roman"/>
          <w:b w:val="0"/>
          <w:i w:val="0"/>
          <w:sz w:val="22"/>
        </w:rPr>
        <w:t>For each completed advance cycle — from disbursement through repayment or recovery — the system generates a structured audit record documenting the complete chain of events. The audit record includes: the original payment UETR and the payment network status events that triggered the bridge offer; the failure probability score, threshold, and SHAP attribution at the time of the offer; the counterparty PD tier, PD estimate, LGD, EAD, and computed APR; the disbursement timestamp and amount; the settlement confirmation event details; the repayment amount, timestamp, and collection mechanism; and the net realised return on the advance. This record supports regulatory reporting, internal risk management, model performance monitoring, and the ongoing accumulation of ground truth outcome data that enables continuous improvement of the failure prediction and pricing models.</w:t>
      </w:r>
    </w:p>
    <w:p>
      <w:pPr>
        <w:spacing w:before="240" w:after="120"/>
      </w:pPr>
      <w:r>
        <w:rPr>
          <w:rFonts w:ascii="Times New Roman" w:hAnsi="Times New Roman"/>
          <w:b/>
          <w:i w:val="0"/>
          <w:sz w:val="24"/>
        </w:rPr>
        <w:t>7. Empirical Evaluation</w:t>
      </w:r>
    </w:p>
    <w:p>
      <w:pPr>
        <w:spacing w:before="240" w:after="120"/>
      </w:pPr>
      <w:r>
        <w:rPr>
          <w:rFonts w:ascii="Times New Roman" w:hAnsi="Times New Roman"/>
          <w:b/>
          <w:i w:val="0"/>
          <w:sz w:val="22"/>
        </w:rPr>
        <w:t>7.1  Dataset and Experimental Setup</w:t>
      </w:r>
    </w:p>
    <w:p>
      <w:pPr>
        <w:spacing w:before="0" w:after="120"/>
      </w:pPr>
      <w:r>
        <w:rPr>
          <w:rFonts w:ascii="Times New Roman" w:hAnsi="Times New Roman"/>
          <w:b w:val="0"/>
          <w:i w:val="0"/>
          <w:sz w:val="22"/>
        </w:rPr>
        <w:t>The failure prediction model is trained and evaluated on a dataset of historical cross-border payment records drawn from multiple currency corridors and correspondent banking routes. The dataset is partitioned into training (70%), validation (15%), and held-out test (15%) sets, with the partitioning performed along the time dimension to preserve the causal ordering of payment observations and prevent lookahead bias. The test set is held out until final evaluation and is not used in any hyperparameter selection or calibration procedure. Evaluation metrics are reported on the test set only.</w:t>
      </w:r>
    </w:p>
    <w:p>
      <w:pPr>
        <w:spacing w:before="240" w:after="120"/>
      </w:pPr>
      <w:r>
        <w:rPr>
          <w:rFonts w:ascii="Times New Roman" w:hAnsi="Times New Roman"/>
          <w:b/>
          <w:i w:val="0"/>
          <w:sz w:val="22"/>
        </w:rPr>
        <w:t>7.2  Failure Prediction Performance</w:t>
      </w:r>
    </w:p>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40" w:after="40"/>
              <w:jc w:val="left"/>
            </w:pPr>
            <w:r>
              <w:rPr>
                <w:rFonts w:ascii="Times New Roman" w:hAnsi="Times New Roman"/>
                <w:b/>
                <w:i w:val="0"/>
                <w:sz w:val="20"/>
              </w:rPr>
              <w:t>Metric</w:t>
            </w:r>
          </w:p>
        </w:tc>
        <w:tc>
          <w:tcPr>
            <w:tcW w:type="dxa" w:w="4320"/>
          </w:tcPr>
          <w:p>
            <w:pPr>
              <w:spacing w:before="40" w:after="40"/>
              <w:jc w:val="center"/>
            </w:pPr>
            <w:r>
              <w:rPr>
                <w:rFonts w:ascii="Times New Roman" w:hAnsi="Times New Roman"/>
                <w:b/>
                <w:i w:val="0"/>
                <w:sz w:val="20"/>
              </w:rPr>
              <w:t>Value</w:t>
            </w:r>
          </w:p>
        </w:tc>
      </w:tr>
      <w:tr>
        <w:tc>
          <w:tcPr>
            <w:tcW w:type="dxa" w:w="4320"/>
          </w:tcPr>
          <w:p>
            <w:pPr>
              <w:spacing w:before="40" w:after="40"/>
              <w:jc w:val="left"/>
            </w:pPr>
            <w:r>
              <w:rPr>
                <w:rFonts w:ascii="Times New Roman" w:hAnsi="Times New Roman"/>
                <w:b w:val="0"/>
                <w:i w:val="0"/>
                <w:sz w:val="20"/>
              </w:rPr>
              <w:t>Area under ROC curve (AUC)</w:t>
            </w:r>
          </w:p>
        </w:tc>
        <w:tc>
          <w:tcPr>
            <w:tcW w:type="dxa" w:w="4320"/>
          </w:tcPr>
          <w:p>
            <w:pPr>
              <w:spacing w:before="40" w:after="40"/>
              <w:jc w:val="center"/>
            </w:pPr>
            <w:r>
              <w:rPr>
                <w:rFonts w:ascii="Times New Roman" w:hAnsi="Times New Roman"/>
                <w:b w:val="0"/>
                <w:i w:val="0"/>
                <w:sz w:val="20"/>
              </w:rPr>
              <w:t>0.739</w:t>
            </w:r>
          </w:p>
        </w:tc>
      </w:tr>
      <w:tr>
        <w:tc>
          <w:tcPr>
            <w:tcW w:type="dxa" w:w="4320"/>
          </w:tcPr>
          <w:p>
            <w:pPr>
              <w:spacing w:before="40" w:after="40"/>
              <w:jc w:val="left"/>
            </w:pPr>
            <w:r>
              <w:rPr>
                <w:rFonts w:ascii="Times New Roman" w:hAnsi="Times New Roman"/>
                <w:b w:val="0"/>
                <w:i w:val="0"/>
                <w:sz w:val="20"/>
              </w:rPr>
              <w:t>Cost-optimised threshold τ*</w:t>
            </w:r>
          </w:p>
        </w:tc>
        <w:tc>
          <w:tcPr>
            <w:tcW w:type="dxa" w:w="4320"/>
          </w:tcPr>
          <w:p>
            <w:pPr>
              <w:spacing w:before="40" w:after="40"/>
              <w:jc w:val="center"/>
            </w:pPr>
            <w:r>
              <w:rPr>
                <w:rFonts w:ascii="Times New Roman" w:hAnsi="Times New Roman"/>
                <w:b w:val="0"/>
                <w:i w:val="0"/>
                <w:sz w:val="20"/>
              </w:rPr>
              <w:t>0.152</w:t>
            </w:r>
          </w:p>
        </w:tc>
      </w:tr>
      <w:tr>
        <w:tc>
          <w:tcPr>
            <w:tcW w:type="dxa" w:w="4320"/>
          </w:tcPr>
          <w:p>
            <w:pPr>
              <w:spacing w:before="40" w:after="40"/>
              <w:jc w:val="left"/>
            </w:pPr>
            <w:r>
              <w:rPr>
                <w:rFonts w:ascii="Times New Roman" w:hAnsi="Times New Roman"/>
                <w:b w:val="0"/>
                <w:i w:val="0"/>
                <w:sz w:val="20"/>
              </w:rPr>
              <w:t>Recall at τ*</w:t>
            </w:r>
          </w:p>
        </w:tc>
        <w:tc>
          <w:tcPr>
            <w:tcW w:type="dxa" w:w="4320"/>
          </w:tcPr>
          <w:p>
            <w:pPr>
              <w:spacing w:before="40" w:after="40"/>
              <w:jc w:val="center"/>
            </w:pPr>
            <w:r>
              <w:rPr>
                <w:rFonts w:ascii="Times New Roman" w:hAnsi="Times New Roman"/>
                <w:b w:val="0"/>
                <w:i w:val="0"/>
                <w:sz w:val="20"/>
              </w:rPr>
              <w:t>0.810</w:t>
            </w:r>
          </w:p>
        </w:tc>
      </w:tr>
      <w:tr>
        <w:tc>
          <w:tcPr>
            <w:tcW w:type="dxa" w:w="4320"/>
          </w:tcPr>
          <w:p>
            <w:pPr>
              <w:spacing w:before="40" w:after="40"/>
              <w:jc w:val="left"/>
            </w:pPr>
            <w:r>
              <w:rPr>
                <w:rFonts w:ascii="Times New Roman" w:hAnsi="Times New Roman"/>
                <w:b w:val="0"/>
                <w:i w:val="0"/>
                <w:sz w:val="20"/>
              </w:rPr>
              <w:t>Precision at τ*</w:t>
            </w:r>
          </w:p>
        </w:tc>
        <w:tc>
          <w:tcPr>
            <w:tcW w:type="dxa" w:w="4320"/>
          </w:tcPr>
          <w:p>
            <w:pPr>
              <w:spacing w:before="40" w:after="40"/>
              <w:jc w:val="center"/>
            </w:pPr>
            <w:r>
              <w:rPr>
                <w:rFonts w:ascii="Times New Roman" w:hAnsi="Times New Roman"/>
                <w:b w:val="0"/>
                <w:i w:val="0"/>
                <w:sz w:val="20"/>
              </w:rPr>
              <w:t>0.341</w:t>
            </w:r>
          </w:p>
        </w:tc>
      </w:tr>
      <w:tr>
        <w:tc>
          <w:tcPr>
            <w:tcW w:type="dxa" w:w="4320"/>
          </w:tcPr>
          <w:p>
            <w:pPr>
              <w:spacing w:before="40" w:after="40"/>
              <w:jc w:val="left"/>
            </w:pPr>
            <w:r>
              <w:rPr>
                <w:rFonts w:ascii="Times New Roman" w:hAnsi="Times New Roman"/>
                <w:b w:val="0"/>
                <w:i w:val="0"/>
                <w:sz w:val="20"/>
              </w:rPr>
              <w:t>F₂ score at τ*</w:t>
            </w:r>
          </w:p>
        </w:tc>
        <w:tc>
          <w:tcPr>
            <w:tcW w:type="dxa" w:w="4320"/>
          </w:tcPr>
          <w:p>
            <w:pPr>
              <w:spacing w:before="40" w:after="40"/>
              <w:jc w:val="center"/>
            </w:pPr>
            <w:r>
              <w:rPr>
                <w:rFonts w:ascii="Times New Roman" w:hAnsi="Times New Roman"/>
                <w:b w:val="0"/>
                <w:i w:val="0"/>
                <w:sz w:val="20"/>
              </w:rPr>
              <w:t>0.617</w:t>
            </w:r>
          </w:p>
        </w:tc>
      </w:tr>
      <w:tr>
        <w:tc>
          <w:tcPr>
            <w:tcW w:type="dxa" w:w="4320"/>
          </w:tcPr>
          <w:p>
            <w:pPr>
              <w:spacing w:before="40" w:after="40"/>
              <w:jc w:val="left"/>
            </w:pPr>
            <w:r>
              <w:rPr>
                <w:rFonts w:ascii="Times New Roman" w:hAnsi="Times New Roman"/>
                <w:b w:val="0"/>
                <w:i w:val="0"/>
                <w:sz w:val="20"/>
              </w:rPr>
              <w:t>Expected calibration error (ECE)</w:t>
            </w:r>
          </w:p>
        </w:tc>
        <w:tc>
          <w:tcPr>
            <w:tcW w:type="dxa" w:w="4320"/>
          </w:tcPr>
          <w:p>
            <w:pPr>
              <w:spacing w:before="40" w:after="40"/>
              <w:jc w:val="center"/>
            </w:pPr>
            <w:r>
              <w:rPr>
                <w:rFonts w:ascii="Times New Roman" w:hAnsi="Times New Roman"/>
                <w:b w:val="0"/>
                <w:i w:val="0"/>
                <w:sz w:val="20"/>
              </w:rPr>
              <w:t>0.031</w:t>
            </w:r>
          </w:p>
        </w:tc>
      </w:tr>
      <w:tr>
        <w:tc>
          <w:tcPr>
            <w:tcW w:type="dxa" w:w="4320"/>
          </w:tcPr>
          <w:p>
            <w:pPr>
              <w:spacing w:before="40" w:after="40"/>
              <w:jc w:val="left"/>
            </w:pPr>
            <w:r>
              <w:rPr>
                <w:rFonts w:ascii="Times New Roman" w:hAnsi="Times New Roman"/>
                <w:b w:val="0"/>
                <w:i w:val="0"/>
                <w:sz w:val="20"/>
              </w:rPr>
              <w:t>End-to-end inference latency (p50)</w:t>
            </w:r>
          </w:p>
        </w:tc>
        <w:tc>
          <w:tcPr>
            <w:tcW w:type="dxa" w:w="4320"/>
          </w:tcPr>
          <w:p>
            <w:pPr>
              <w:spacing w:before="40" w:after="40"/>
              <w:jc w:val="center"/>
            </w:pPr>
            <w:r>
              <w:rPr>
                <w:rFonts w:ascii="Times New Roman" w:hAnsi="Times New Roman"/>
                <w:b w:val="0"/>
                <w:i w:val="0"/>
                <w:sz w:val="20"/>
              </w:rPr>
              <w:t>94 ms</w:t>
            </w:r>
          </w:p>
        </w:tc>
      </w:tr>
      <w:tr>
        <w:tc>
          <w:tcPr>
            <w:tcW w:type="dxa" w:w="4320"/>
          </w:tcPr>
          <w:p>
            <w:pPr>
              <w:spacing w:before="40" w:after="40"/>
              <w:jc w:val="left"/>
            </w:pPr>
            <w:r>
              <w:rPr>
                <w:rFonts w:ascii="Times New Roman" w:hAnsi="Times New Roman"/>
                <w:b w:val="0"/>
                <w:i w:val="0"/>
                <w:sz w:val="20"/>
              </w:rPr>
              <w:t>End-to-end inference latency (p99)</w:t>
            </w:r>
          </w:p>
        </w:tc>
        <w:tc>
          <w:tcPr>
            <w:tcW w:type="dxa" w:w="4320"/>
          </w:tcPr>
          <w:p>
            <w:pPr>
              <w:spacing w:before="40" w:after="40"/>
              <w:jc w:val="center"/>
            </w:pPr>
            <w:r>
              <w:rPr>
                <w:rFonts w:ascii="Times New Roman" w:hAnsi="Times New Roman"/>
                <w:b w:val="0"/>
                <w:i w:val="0"/>
                <w:sz w:val="20"/>
              </w:rPr>
              <w:t>142 ms</w:t>
            </w:r>
          </w:p>
        </w:tc>
      </w:tr>
    </w:tbl>
    <w:p>
      <w:pPr>
        <w:spacing w:before="120" w:after="200"/>
      </w:pPr>
      <w:r>
        <w:rPr>
          <w:rFonts w:ascii="Times New Roman" w:hAnsi="Times New Roman"/>
          <w:b/>
          <w:i w:val="0"/>
          <w:sz w:val="20"/>
        </w:rPr>
        <w:t xml:space="preserve">Table 1: </w:t>
      </w:r>
      <w:r>
        <w:rPr>
          <w:rFonts w:ascii="Times New Roman" w:hAnsi="Times New Roman"/>
          <w:b w:val="0"/>
          <w:i/>
          <w:sz w:val="20"/>
        </w:rPr>
        <w:t>Failure prediction performance on held-out test set. Latency measured end-to-end from payment status event receipt to probability output.</w:t>
      </w:r>
    </w:p>
    <w:p>
      <w:pPr>
        <w:spacing w:before="0" w:after="120"/>
      </w:pPr>
      <w:r>
        <w:rPr>
          <w:rFonts w:ascii="Times New Roman" w:hAnsi="Times New Roman"/>
          <w:b w:val="0"/>
          <w:i w:val="0"/>
          <w:sz w:val="22"/>
        </w:rPr>
        <w:t>The AUC of 0.739 reflects the genuine difficulty of the payment failure prediction task: payment failures are rare, contextually heterogeneous, and influenced by factors — such as internal correspondent bank liquidity states and compliance screening outcomes — that are not directly observable from the payment message stream. The recall of 0.810 at the cost-optimised threshold τ* = 0.152 means that the system correctly flags approximately 81% of genuine payment failures. The F₂ score of 0.617 reflects the dominance of recall in the optimisation objective.</w:t>
      </w:r>
    </w:p>
    <w:p>
      <w:pPr>
        <w:spacing w:before="0" w:after="120"/>
      </w:pPr>
      <w:r>
        <w:rPr>
          <w:rFonts w:ascii="Times New Roman" w:hAnsi="Times New Roman"/>
          <w:b w:val="0"/>
          <w:i w:val="0"/>
          <w:sz w:val="22"/>
        </w:rPr>
        <w:t>The p50 inference latency of 94 milliseconds and the p99 latency of 142 milliseconds confirm that the system meets the real-time processing requirement for commercial utility in live payment corridors. The p50 satisfies the sub-100ms design target; the p99 of 142ms reflects processing of more complex feature vectors under peak load conditions and remains within an operationally acceptable range for asynchronous bridge loan offer generation. The LightGBM model trained on the available feature set achieves competitive inference speed without the quantisation or distillation techniques sometimes required for deep learning models at comparable latency targets.</w:t>
      </w:r>
    </w:p>
    <w:p>
      <w:pPr>
        <w:spacing w:before="240" w:after="120"/>
      </w:pPr>
      <w:r>
        <w:rPr>
          <w:rFonts w:ascii="Times New Roman" w:hAnsi="Times New Roman"/>
          <w:b/>
          <w:i w:val="0"/>
          <w:sz w:val="22"/>
        </w:rPr>
        <w:t>7.3  Pricing Accuracy and Coverage</w:t>
      </w:r>
    </w:p>
    <w:p>
      <w:pPr>
        <w:spacing w:before="0" w:after="120"/>
      </w:pPr>
      <w:r>
        <w:rPr>
          <w:rFonts w:ascii="Times New Roman" w:hAnsi="Times New Roman"/>
          <w:b w:val="0"/>
          <w:i w:val="0"/>
          <w:sz w:val="22"/>
        </w:rPr>
        <w:t>Coverage across the three pricing tiers depends on the composition of the counterparty population in the deployment dataset. In the evaluation dataset, approximately 18% of counterparties qualify for Tier 1 structural model assessment (listed companies with observable equity data); 54% qualify for Tier 2 proxy structural model assessment (private companies with available balance sheet data); and 28% are assessed under the Tier 3 reduced-form model. The tiered framework thus achieves coverage across the full counterparty population, including the 82% — predominantly private companies — that a pure structural model would be unable to assess.</w:t>
      </w:r>
    </w:p>
    <w:p>
      <w:pPr>
        <w:spacing w:before="0" w:after="120"/>
      </w:pPr>
      <w:r>
        <w:rPr>
          <w:rFonts w:ascii="Times New Roman" w:hAnsi="Times New Roman"/>
          <w:b w:val="0"/>
          <w:i w:val="0"/>
          <w:sz w:val="22"/>
        </w:rPr>
        <w:t>The CVA-derived APR on the evaluation dataset ranges from approximately 150 basis points for Tier 1 counterparties with strong balance sheets and short advance durations, to approximately 800 basis points for Tier 3 counterparties with data-sparse financial profiles and longer advance durations. These APR levels are competitive with emergency overdraft facilities (which typically price at 1,000–2,000 bps annualised for comparable durations) while adequately compensating the lender for estimated credit and operational risk.</w:t>
      </w:r>
    </w:p>
    <w:p>
      <w:pPr>
        <w:spacing w:before="240" w:after="120"/>
      </w:pPr>
      <w:r>
        <w:rPr>
          <w:rFonts w:ascii="Times New Roman" w:hAnsi="Times New Roman"/>
          <w:b/>
          <w:i w:val="0"/>
          <w:sz w:val="22"/>
        </w:rPr>
        <w:t>7.4  System Latency Decomposition</w:t>
      </w:r>
    </w:p>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40" w:after="40"/>
            </w:pPr>
            <w:r>
              <w:rPr>
                <w:rFonts w:ascii="Times New Roman" w:hAnsi="Times New Roman"/>
                <w:b/>
                <w:i w:val="0"/>
                <w:sz w:val="20"/>
              </w:rPr>
              <w:t>Processing Stage</w:t>
            </w:r>
          </w:p>
        </w:tc>
        <w:tc>
          <w:tcPr>
            <w:tcW w:type="dxa" w:w="4320"/>
          </w:tcPr>
          <w:p>
            <w:pPr>
              <w:spacing w:before="40" w:after="40"/>
            </w:pPr>
            <w:r>
              <w:rPr>
                <w:rFonts w:ascii="Times New Roman" w:hAnsi="Times New Roman"/>
                <w:b/>
                <w:i w:val="0"/>
                <w:sz w:val="20"/>
              </w:rPr>
              <w:t>Latency Contribution</w:t>
            </w:r>
          </w:p>
        </w:tc>
      </w:tr>
      <w:tr>
        <w:tc>
          <w:tcPr>
            <w:tcW w:type="dxa" w:w="4320"/>
          </w:tcPr>
          <w:p>
            <w:pPr>
              <w:spacing w:before="40" w:after="40"/>
            </w:pPr>
            <w:r>
              <w:rPr>
                <w:rFonts w:ascii="Times New Roman" w:hAnsi="Times New Roman"/>
                <w:b w:val="0"/>
                <w:i w:val="0"/>
                <w:sz w:val="20"/>
              </w:rPr>
              <w:t>Feature extraction from normalised event representation</w:t>
            </w:r>
          </w:p>
        </w:tc>
        <w:tc>
          <w:tcPr>
            <w:tcW w:type="dxa" w:w="4320"/>
          </w:tcPr>
          <w:p>
            <w:pPr>
              <w:spacing w:before="40" w:after="40"/>
            </w:pPr>
            <w:r>
              <w:rPr>
                <w:rFonts w:ascii="Times New Roman" w:hAnsi="Times New Roman"/>
                <w:b w:val="0"/>
                <w:i w:val="0"/>
                <w:sz w:val="20"/>
              </w:rPr>
              <w:t>~12 ms</w:t>
            </w:r>
          </w:p>
        </w:tc>
      </w:tr>
      <w:tr>
        <w:tc>
          <w:tcPr>
            <w:tcW w:type="dxa" w:w="4320"/>
          </w:tcPr>
          <w:p>
            <w:pPr>
              <w:spacing w:before="40" w:after="40"/>
            </w:pPr>
            <w:r>
              <w:rPr>
                <w:rFonts w:ascii="Times New Roman" w:hAnsi="Times New Roman"/>
                <w:b w:val="0"/>
                <w:i w:val="0"/>
                <w:sz w:val="20"/>
              </w:rPr>
              <w:t>LightGBM model inference (dominant component)</w:t>
            </w:r>
          </w:p>
        </w:tc>
        <w:tc>
          <w:tcPr>
            <w:tcW w:type="dxa" w:w="4320"/>
          </w:tcPr>
          <w:p>
            <w:pPr>
              <w:spacing w:before="40" w:after="40"/>
            </w:pPr>
            <w:r>
              <w:rPr>
                <w:rFonts w:ascii="Times New Roman" w:hAnsi="Times New Roman"/>
                <w:b w:val="0"/>
                <w:i w:val="0"/>
                <w:sz w:val="20"/>
              </w:rPr>
              <w:t>~68 ms</w:t>
            </w:r>
          </w:p>
        </w:tc>
      </w:tr>
      <w:tr>
        <w:tc>
          <w:tcPr>
            <w:tcW w:type="dxa" w:w="4320"/>
          </w:tcPr>
          <w:p>
            <w:pPr>
              <w:spacing w:before="40" w:after="40"/>
            </w:pPr>
            <w:r>
              <w:rPr>
                <w:rFonts w:ascii="Times New Roman" w:hAnsi="Times New Roman"/>
                <w:b w:val="0"/>
                <w:i w:val="0"/>
                <w:sz w:val="20"/>
              </w:rPr>
              <w:t>Isotonic calibration mapping</w:t>
            </w:r>
          </w:p>
        </w:tc>
        <w:tc>
          <w:tcPr>
            <w:tcW w:type="dxa" w:w="4320"/>
          </w:tcPr>
          <w:p>
            <w:pPr>
              <w:spacing w:before="40" w:after="40"/>
            </w:pPr>
            <w:r>
              <w:rPr>
                <w:rFonts w:ascii="Times New Roman" w:hAnsi="Times New Roman"/>
                <w:b w:val="0"/>
                <w:i w:val="0"/>
                <w:sz w:val="20"/>
              </w:rPr>
              <w:t>~4 ms</w:t>
            </w:r>
          </w:p>
        </w:tc>
      </w:tr>
      <w:tr>
        <w:tc>
          <w:tcPr>
            <w:tcW w:type="dxa" w:w="4320"/>
          </w:tcPr>
          <w:p>
            <w:pPr>
              <w:spacing w:before="40" w:after="40"/>
            </w:pPr>
            <w:r>
              <w:rPr>
                <w:rFonts w:ascii="Times New Roman" w:hAnsi="Times New Roman"/>
                <w:b w:val="0"/>
                <w:i w:val="0"/>
                <w:sz w:val="20"/>
              </w:rPr>
              <w:t>SHAP attribution computation</w:t>
            </w:r>
          </w:p>
        </w:tc>
        <w:tc>
          <w:tcPr>
            <w:tcW w:type="dxa" w:w="4320"/>
          </w:tcPr>
          <w:p>
            <w:pPr>
              <w:spacing w:before="40" w:after="40"/>
            </w:pPr>
            <w:r>
              <w:rPr>
                <w:rFonts w:ascii="Times New Roman" w:hAnsi="Times New Roman"/>
                <w:b w:val="0"/>
                <w:i w:val="0"/>
                <w:sz w:val="20"/>
              </w:rPr>
              <w:t>~10 ms</w:t>
            </w:r>
          </w:p>
        </w:tc>
      </w:tr>
      <w:tr>
        <w:tc>
          <w:tcPr>
            <w:tcW w:type="dxa" w:w="4320"/>
          </w:tcPr>
          <w:p>
            <w:pPr>
              <w:spacing w:before="40" w:after="40"/>
            </w:pPr>
            <w:r>
              <w:rPr>
                <w:rFonts w:ascii="Times New Roman" w:hAnsi="Times New Roman"/>
                <w:b w:val="0"/>
                <w:i w:val="0"/>
                <w:sz w:val="20"/>
              </w:rPr>
              <w:t>Subtotal — failure prediction (p50)</w:t>
            </w:r>
          </w:p>
        </w:tc>
        <w:tc>
          <w:tcPr>
            <w:tcW w:type="dxa" w:w="4320"/>
          </w:tcPr>
          <w:p>
            <w:pPr>
              <w:spacing w:before="40" w:after="40"/>
            </w:pPr>
            <w:r>
              <w:rPr>
                <w:rFonts w:ascii="Times New Roman" w:hAnsi="Times New Roman"/>
                <w:b w:val="0"/>
                <w:i w:val="0"/>
                <w:sz w:val="20"/>
              </w:rPr>
              <w:t>94 ms</w:t>
            </w:r>
          </w:p>
        </w:tc>
      </w:tr>
      <w:tr>
        <w:tc>
          <w:tcPr>
            <w:tcW w:type="dxa" w:w="4320"/>
          </w:tcPr>
          <w:p>
            <w:pPr>
              <w:spacing w:before="40" w:after="40"/>
            </w:pPr>
            <w:r>
              <w:rPr>
                <w:rFonts w:ascii="Times New Roman" w:hAnsi="Times New Roman"/>
                <w:b w:val="0"/>
                <w:i w:val="0"/>
                <w:sz w:val="20"/>
              </w:rPr>
              <w:t>CVA pricing computation (Stage 2)</w:t>
            </w:r>
          </w:p>
        </w:tc>
        <w:tc>
          <w:tcPr>
            <w:tcW w:type="dxa" w:w="4320"/>
          </w:tcPr>
          <w:p>
            <w:pPr>
              <w:spacing w:before="40" w:after="40"/>
            </w:pPr>
            <w:r>
              <w:rPr>
                <w:rFonts w:ascii="Times New Roman" w:hAnsi="Times New Roman"/>
                <w:b w:val="0"/>
                <w:i w:val="0"/>
                <w:sz w:val="20"/>
              </w:rPr>
              <w:t>+8 ms avg</w:t>
            </w:r>
          </w:p>
        </w:tc>
      </w:tr>
    </w:tbl>
    <w:p>
      <w:pPr>
        <w:spacing w:before="120" w:after="200"/>
      </w:pPr>
      <w:r>
        <w:rPr>
          <w:rFonts w:ascii="Times New Roman" w:hAnsi="Times New Roman"/>
          <w:b/>
          <w:i w:val="0"/>
          <w:sz w:val="20"/>
        </w:rPr>
        <w:t xml:space="preserve">Table 2: </w:t>
      </w:r>
      <w:r>
        <w:rPr>
          <w:rFonts w:ascii="Times New Roman" w:hAnsi="Times New Roman"/>
          <w:b w:val="0"/>
          <w:i/>
          <w:sz w:val="20"/>
        </w:rPr>
        <w:t>End-to-end latency decomposition by processing stage. Total from payment event receipt to complete bridge loan offer including pricing: approximately 102 ms (p50).</w:t>
      </w:r>
    </w:p>
    <w:p>
      <w:pPr>
        <w:spacing w:before="240" w:after="120"/>
      </w:pPr>
      <w:r>
        <w:rPr>
          <w:rFonts w:ascii="Times New Roman" w:hAnsi="Times New Roman"/>
          <w:b/>
          <w:i w:val="0"/>
          <w:sz w:val="24"/>
        </w:rPr>
        <w:t>8. Discussion</w:t>
      </w:r>
    </w:p>
    <w:p>
      <w:pPr>
        <w:spacing w:before="240" w:after="120"/>
      </w:pPr>
      <w:r>
        <w:rPr>
          <w:rFonts w:ascii="Times New Roman" w:hAnsi="Times New Roman"/>
          <w:b/>
          <w:i w:val="0"/>
          <w:sz w:val="22"/>
        </w:rPr>
        <w:t>8.1  Limitations</w:t>
      </w:r>
    </w:p>
    <w:p>
      <w:pPr>
        <w:spacing w:before="0" w:after="120"/>
      </w:pPr>
      <w:r>
        <w:rPr>
          <w:rFonts w:ascii="Times New Roman" w:hAnsi="Times New Roman"/>
          <w:b w:val="0"/>
          <w:i w:val="0"/>
          <w:sz w:val="22"/>
        </w:rPr>
        <w:t>Several limitations of the present work should be noted. The failure prediction model is trained on historical data from a specific set of payment corridors and correspondent banking routes; performance on corridors not represented in the training data may be degraded until sufficient deployment data accumulates. The model exhibits the standard vulnerability of gradient-boosted models to distributional shift: a structural change in the correspondent banking landscape — such as the introduction of a new sanctions screening protocol or the failure of a major correspondent — will cause model performance to degrade until retraining on post-change data is completed. Monitoring for distributional shift using population stability indices on the input feature distributions is a necessary operational complement to the system.</w:t>
      </w:r>
    </w:p>
    <w:p>
      <w:pPr>
        <w:spacing w:before="0" w:after="120"/>
      </w:pPr>
      <w:r>
        <w:rPr>
          <w:rFonts w:ascii="Times New Roman" w:hAnsi="Times New Roman"/>
          <w:b w:val="0"/>
          <w:i w:val="0"/>
          <w:sz w:val="22"/>
        </w:rPr>
        <w:t>The Tier 2 proxy structural model introduces approximation error whose magnitude depends on the representativeness of the sector-median asset volatility used. For counterparties in industries with high within-sector volatility dispersion, the sector median may be a poor approximation of the firm-specific volatility, producing PD estimates with wide uncertainty intervals. A Bayesian treatment of the asset volatility parameter that propagates this uncertainty through to the CVA calculation would improve pricing accuracy for these counterparties and is a direction for future work.</w:t>
      </w:r>
    </w:p>
    <w:p>
      <w:pPr>
        <w:spacing w:before="240" w:after="120"/>
      </w:pPr>
      <w:r>
        <w:rPr>
          <w:rFonts w:ascii="Times New Roman" w:hAnsi="Times New Roman"/>
          <w:b/>
          <w:i w:val="0"/>
          <w:sz w:val="22"/>
        </w:rPr>
        <w:t>8.2  Extensions</w:t>
      </w:r>
    </w:p>
    <w:p>
      <w:pPr>
        <w:spacing w:before="0" w:after="120"/>
      </w:pPr>
      <w:r>
        <w:rPr>
          <w:rFonts w:ascii="Times New Roman" w:hAnsi="Times New Roman"/>
          <w:b w:val="0"/>
          <w:i w:val="0"/>
          <w:sz w:val="22"/>
        </w:rPr>
        <w:t>Several extensions to the architecture are under active development or are presented here as directions for future work.</w:t>
      </w:r>
    </w:p>
    <w:p>
      <w:pPr>
        <w:spacing w:before="120" w:after="120"/>
      </w:pPr>
      <w:r>
        <w:rPr>
          <w:rFonts w:ascii="Times New Roman" w:hAnsi="Times New Roman"/>
          <w:b w:val="0"/>
          <w:i w:val="0"/>
          <w:sz w:val="22"/>
        </w:rPr>
        <w:t>Adversarial payment cancellation detection. The auto-repayment loop described in Section 6 depends on the original payment eventually settling, enabling the system to collect repayment from settlement proceeds. A security vulnerability in this mechanism arises from the ISO 20022 camt.056 FI-to-FI Payment Cancellation Request message, which a payment sender may issue to cancel an in-transit payment at any point before final settlement. If a receiving bank accepts the cancellation request via a pacs.004 Payment Return after a bridge advance has been disbursed, the receivable that secures the advance is extinguished, converting a secured position to an unsecured one. An adversarial scenario occurs when the original payment sender, aware that the receiver has obtained bridge funding and will not immediately detect the non-arrival of the original payment, issues a camt.056 cancellation request on spurious grounds.</w:t>
      </w:r>
    </w:p>
    <w:p>
      <w:pPr>
        <w:spacing w:before="0" w:after="120"/>
      </w:pPr>
      <w:r>
        <w:rPr>
          <w:rFonts w:ascii="Times New Roman" w:hAnsi="Times New Roman"/>
          <w:b w:val="0"/>
          <w:i w:val="0"/>
          <w:sz w:val="22"/>
        </w:rPr>
        <w:t>A dual-stream monitoring architecture addresses this vulnerability by operating a secondary message stream — in parallel with the primary settlement monitoring stream — that continuously scans camt.056, camt.055, pacs.004, and camt.029 message channels for any cancellation activity keyed to the UETR of a payment for which an advance is active. An ML classifier operating on three feature categories — temporal features (time elapsed between advance disbursement and cancellation request), reason code features (the ISO 20022 reason code on the camt.056 message and its historical frequency from this sender BIC), and originator behaviour features (the sender's historical cancellation rate, payment completion rate, and prior cancellation success rate with the receiving bank) — distinguishes between Class 0 error-correction cancellations and Class 1 adversarial cancellations. Upon a Class 1 prediction, or upon pacs.004 detection regardless of classifier output, a security interest preservation workflow activates: a notice of competing security interest is transmitted to the receiving financial institution via Exceptions and Investigations messaging within 60 seconds of camt.056 detection, asserting the secured party's prior perfected security interest in the payment proceeds established at advance disbursement.</w:t>
      </w:r>
    </w:p>
    <w:p>
      <w:pPr>
        <w:spacing w:before="0" w:after="120"/>
      </w:pPr>
      <w:r>
        <w:rPr>
          <w:rFonts w:ascii="Times New Roman" w:hAnsi="Times New Roman"/>
          <w:b w:val="0"/>
          <w:i w:val="0"/>
          <w:sz w:val="22"/>
        </w:rPr>
        <w:t>Pre-emptive liquidity portfolio management. A forward-looking extension operates on probability distributions over anticipated future payment receipts rather than on real-time status signals from in-flight payments, extending the architecture to working capital management at longer time horizons. The system constructs a probabilistic payment expectation graph for each enrolled entity, computes individual forward failure probabilities using a time-conditional hazard model, and aggregates these into a portfolio-level working capital gap distribution. A standing liquidity facility is calibrated to a specified quantile of this gap distribution and draws automatically as individual anticipated payments enter failure or settlement states.</w:t>
      </w:r>
    </w:p>
    <w:p>
      <w:pPr>
        <w:spacing w:before="0" w:after="120"/>
      </w:pPr>
      <w:r>
        <w:rPr>
          <w:rFonts w:ascii="Times New Roman" w:hAnsi="Times New Roman"/>
          <w:b w:val="0"/>
          <w:i w:val="0"/>
          <w:sz w:val="22"/>
        </w:rPr>
        <w:t>Supply chain cascade detection. A network-level extension models the payment relationship topology among enrolled entities as a directed weighted graph and computes cascade propagation probabilities when an upstream payment failure is detected. The cascade detection system identifies the minimum-cost set of coordinated bridge interventions that reduces total cascade propagation probability below a specified threshold, enabling pre-emptive network-level intervention before secondary failures materialise.</w:t>
      </w:r>
    </w:p>
    <w:p>
      <w:pPr>
        <w:spacing w:before="0" w:after="120"/>
      </w:pPr>
      <w:r>
        <w:rPr>
          <w:rFonts w:ascii="Times New Roman" w:hAnsi="Times New Roman"/>
          <w:b w:val="0"/>
          <w:i w:val="0"/>
          <w:sz w:val="22"/>
        </w:rPr>
        <w:t>Autonomous treasury management. An agent-based extension integrates the reactive bridging system with FX exposure management, standing credit facility management, and forward payment portfolio optimisation to provide a complete autonomous treasury management function for mid-market companies without dedicated treasury teams. The FX hedging component introduces a probability-adjusted hedge ratio — optimal hedge ratio equals one minus payment failure probability times standard hedge ratio — that integrates payment network risk into currency exposure management in a way that no existing treasury system implements.</w:t>
      </w:r>
    </w:p>
    <w:p>
      <w:pPr>
        <w:spacing w:before="240" w:after="120"/>
      </w:pPr>
      <w:r>
        <w:rPr>
          <w:rFonts w:ascii="Times New Roman" w:hAnsi="Times New Roman"/>
          <w:b/>
          <w:i w:val="0"/>
          <w:sz w:val="24"/>
        </w:rPr>
        <w:t>9. Conclusion</w:t>
      </w:r>
    </w:p>
    <w:p>
      <w:pPr>
        <w:spacing w:before="0" w:after="120"/>
      </w:pPr>
      <w:r>
        <w:rPr>
          <w:rFonts w:ascii="Times New Roman" w:hAnsi="Times New Roman"/>
          <w:b w:val="0"/>
          <w:i w:val="0"/>
          <w:sz w:val="22"/>
        </w:rPr>
        <w:t>This paper has presented a three-component architecture for real-time payment failure detection and automated liquidity bridging in cross-border payment networks. The failure prediction engine applies gradient-boosted ensemble classification with isotonic calibration and cost-asymmetric threshold optimisation to ISO 20022 and SWIFT gpi event streams, achieving an AUC of 0.739 and a recall of 0.810 at the cost-optimised threshold, with median end-to-end inference latency of 94 milliseconds (p50) and 142 milliseconds (p99). The tiered probability-of-default framework extends conventional structural credit models to private-company counterparties through a sector-median asset volatility proxy, achieving full counterparty population coverage in the evaluation dataset. The settlement-confirmation auto-repayment loop binds each advance to the UETR of the original payment and automatically recovers the advance upon settlement confirmation, without human intervention.</w:t>
      </w:r>
    </w:p>
    <w:p>
      <w:pPr>
        <w:spacing w:before="0" w:after="120"/>
      </w:pPr>
      <w:r>
        <w:rPr>
          <w:rFonts w:ascii="Times New Roman" w:hAnsi="Times New Roman"/>
          <w:b w:val="0"/>
          <w:i w:val="0"/>
          <w:sz w:val="22"/>
        </w:rPr>
        <w:t>The adversarial payment cancellation detection extension described in Section 8.2 addresses a specific security vulnerability in the auto-repayment mechanism arising from the ISO 20022 camt.056 cancellation request protocol, providing a dual-stream monitoring architecture and ML-based intent classifier that preserves the lender's security interest against adversarial cancellation attempts.</w:t>
      </w:r>
    </w:p>
    <w:p>
      <w:pPr>
        <w:spacing w:before="0" w:after="120"/>
      </w:pPr>
      <w:r>
        <w:rPr>
          <w:rFonts w:ascii="Times New Roman" w:hAnsi="Times New Roman"/>
          <w:b w:val="0"/>
          <w:i w:val="0"/>
          <w:sz w:val="22"/>
        </w:rPr>
        <w:t>The system addresses a gap in financial market infrastructure that has been enabled by recent developments in payment network telemetry — specifically the adoption of SWIFT gpi UETR tracking and the progressive migration to ISO 20022 structured messaging. The combination of real-time payment event monitoring, automated credit risk assessment without assumed credit spreads, and settlement-linked auto-repayment represents a novel architecture whose individual components build on well-established techniques but whose integration as an event-driven system is a contribution not present in the prior literature.</w:t>
      </w:r>
    </w:p>
    <w:p>
      <w:pPr>
        <w:spacing w:before="240" w:after="120"/>
      </w:pPr>
      <w:r>
        <w:rPr>
          <w:rFonts w:ascii="Times New Roman" w:hAnsi="Times New Roman"/>
          <w:b/>
          <w:i w:val="0"/>
          <w:sz w:val="24"/>
        </w:rPr>
        <w:t>10. References</w:t>
      </w:r>
    </w:p>
    <w:p>
      <w:pPr>
        <w:spacing w:before="40" w:after="60"/>
        <w:ind w:left="504" w:hanging="504"/>
      </w:pPr>
      <w:r>
        <w:rPr>
          <w:rFonts w:ascii="Times New Roman" w:hAnsi="Times New Roman"/>
          <w:b w:val="0"/>
          <w:i w:val="0"/>
          <w:sz w:val="20"/>
        </w:rPr>
        <w:t>[1] Bank for International Settlements. (2024). Statistics on payment, clearing and settlement systems in the CPMI countries. BIS Committee on Payments and Market Infrastructures. https://www.bis.org/cpmi/publ/</w:t>
      </w:r>
    </w:p>
    <w:p>
      <w:pPr>
        <w:spacing w:before="40" w:after="60"/>
        <w:ind w:left="504" w:hanging="504"/>
      </w:pPr>
      <w:r>
        <w:rPr>
          <w:rFonts w:ascii="Times New Roman" w:hAnsi="Times New Roman"/>
          <w:b w:val="0"/>
          <w:i w:val="0"/>
          <w:sz w:val="20"/>
        </w:rPr>
        <w:t>[2] SWIFT. (2023). SWIFT Annual Review 2023: Payments and Securities. Society for Worldwide Interbank Financial Telecommunication.</w:t>
      </w:r>
    </w:p>
    <w:p>
      <w:pPr>
        <w:spacing w:before="40" w:after="60"/>
        <w:ind w:left="504" w:hanging="504"/>
      </w:pPr>
      <w:r>
        <w:rPr>
          <w:rFonts w:ascii="Times New Roman" w:hAnsi="Times New Roman"/>
          <w:b w:val="0"/>
          <w:i w:val="0"/>
          <w:sz w:val="20"/>
        </w:rPr>
        <w:t>[3] SWIFT. (2022). SWIFT gpi: The New Standard in Cross-Border Payments. SWIFT Technical Documentation. https://www.swift.com/our-solutions/swift-gpi</w:t>
      </w:r>
    </w:p>
    <w:p>
      <w:pPr>
        <w:spacing w:before="40" w:after="60"/>
        <w:ind w:left="504" w:hanging="504"/>
      </w:pPr>
      <w:r>
        <w:rPr>
          <w:rFonts w:ascii="Times New Roman" w:hAnsi="Times New Roman"/>
          <w:b w:val="0"/>
          <w:i w:val="0"/>
          <w:sz w:val="20"/>
        </w:rPr>
        <w:t>[4] ISO. (2019). ISO 20022: Universal Financial Industry Message Scheme. International Organization for Standardization. https://www.iso20022.org/</w:t>
      </w:r>
    </w:p>
    <w:p>
      <w:pPr>
        <w:spacing w:before="40" w:after="60"/>
        <w:ind w:left="504" w:hanging="504"/>
      </w:pPr>
      <w:r>
        <w:rPr>
          <w:rFonts w:ascii="Times New Roman" w:hAnsi="Times New Roman"/>
          <w:b w:val="0"/>
          <w:i w:val="0"/>
          <w:sz w:val="20"/>
        </w:rPr>
        <w:t>[5] Bhattacharyya, S., Jha, S., Tharakunnel, K., &amp; Westland, J. C. (2011). Data mining for credit card fraud: A comparative study. Decision Support Systems, 50(3), 602–613.</w:t>
      </w:r>
    </w:p>
    <w:p>
      <w:pPr>
        <w:spacing w:before="40" w:after="60"/>
        <w:ind w:left="504" w:hanging="504"/>
      </w:pPr>
      <w:r>
        <w:rPr>
          <w:rFonts w:ascii="Times New Roman" w:hAnsi="Times New Roman"/>
          <w:b w:val="0"/>
          <w:i w:val="0"/>
          <w:sz w:val="20"/>
        </w:rPr>
        <w:t>[6] Dal Pozzolo, A., Caelen, O., Le Borgne, Y. A., Waterschoot, S., &amp; Bontempi, G. (2014). Learned lessons in credit card fraud detection from a practitioner perspective. Expert Systems with Applications, 41(10), 4915–4928.</w:t>
      </w:r>
    </w:p>
    <w:p>
      <w:pPr>
        <w:spacing w:before="40" w:after="60"/>
        <w:ind w:left="504" w:hanging="504"/>
      </w:pPr>
      <w:r>
        <w:rPr>
          <w:rFonts w:ascii="Times New Roman" w:hAnsi="Times New Roman"/>
          <w:b w:val="0"/>
          <w:i w:val="0"/>
          <w:sz w:val="20"/>
        </w:rPr>
        <w:t>[7] Bottomline Technologies SARL. (2022). US11532040B2 — System and method for international cash management using machine learning. USPTO.</w:t>
      </w:r>
    </w:p>
    <w:p>
      <w:pPr>
        <w:spacing w:before="40" w:after="60"/>
        <w:ind w:left="504" w:hanging="504"/>
      </w:pPr>
      <w:r>
        <w:rPr>
          <w:rFonts w:ascii="Times New Roman" w:hAnsi="Times New Roman"/>
          <w:b w:val="0"/>
          <w:i w:val="0"/>
          <w:sz w:val="20"/>
        </w:rPr>
        <w:t>[8] Merton, R. C. (1974). On the pricing of corporate debt: The risk structure of interest rates. Journal of Finance, 29(2), 449–470.</w:t>
      </w:r>
    </w:p>
    <w:p>
      <w:pPr>
        <w:spacing w:before="40" w:after="60"/>
        <w:ind w:left="504" w:hanging="504"/>
      </w:pPr>
      <w:r>
        <w:rPr>
          <w:rFonts w:ascii="Times New Roman" w:hAnsi="Times New Roman"/>
          <w:b w:val="0"/>
          <w:i w:val="0"/>
          <w:sz w:val="20"/>
        </w:rPr>
        <w:t>[9] Black, F., &amp; Cox, J. C. (1976). Valuing corporate securities: Some effects of bond indenture provisions. Journal of Finance, 31(2), 351–367.</w:t>
      </w:r>
    </w:p>
    <w:p>
      <w:pPr>
        <w:spacing w:before="40" w:after="60"/>
        <w:ind w:left="504" w:hanging="504"/>
      </w:pPr>
      <w:r>
        <w:rPr>
          <w:rFonts w:ascii="Times New Roman" w:hAnsi="Times New Roman"/>
          <w:b w:val="0"/>
          <w:i w:val="0"/>
          <w:sz w:val="20"/>
        </w:rPr>
        <w:t>[10] Crosbie, P., &amp; Bohn, J. (2003). Modeling default risk. Moody's KMV Technical Document, Version 1.0.</w:t>
      </w:r>
    </w:p>
    <w:p>
      <w:pPr>
        <w:spacing w:before="40" w:after="60"/>
        <w:ind w:left="504" w:hanging="504"/>
      </w:pPr>
      <w:r>
        <w:rPr>
          <w:rFonts w:ascii="Times New Roman" w:hAnsi="Times New Roman"/>
          <w:b w:val="0"/>
          <w:i w:val="0"/>
          <w:sz w:val="20"/>
        </w:rPr>
        <w:t>[11] JPMorgan Chase Bank N.A. (2006). US7089207B1 — Method and system for determining a company's probability of no default. USPTO.</w:t>
      </w:r>
    </w:p>
    <w:p>
      <w:pPr>
        <w:spacing w:before="40" w:after="60"/>
        <w:ind w:left="504" w:hanging="504"/>
      </w:pPr>
      <w:r>
        <w:rPr>
          <w:rFonts w:ascii="Times New Roman" w:hAnsi="Times New Roman"/>
          <w:b w:val="0"/>
          <w:i w:val="0"/>
          <w:sz w:val="20"/>
        </w:rPr>
        <w:t>[12] Altman, E. I. (1968). Financial ratios, discriminant analysis, and the prediction of corporate bankruptcy. Journal of Finance, 23(4), 589–609.</w:t>
      </w:r>
    </w:p>
    <w:p>
      <w:pPr>
        <w:spacing w:before="40" w:after="60"/>
        <w:ind w:left="504" w:hanging="504"/>
      </w:pPr>
      <w:r>
        <w:rPr>
          <w:rFonts w:ascii="Times New Roman" w:hAnsi="Times New Roman"/>
          <w:b w:val="0"/>
          <w:i w:val="0"/>
          <w:sz w:val="20"/>
        </w:rPr>
        <w:t>[13] Altman, E. I. (2000). Predicting financial distress of companies: Revisiting the Z-Score and ZETA models. NYU Stern Working Paper.</w:t>
      </w:r>
    </w:p>
    <w:p>
      <w:pPr>
        <w:spacing w:before="40" w:after="60"/>
        <w:ind w:left="504" w:hanging="504"/>
      </w:pPr>
      <w:r>
        <w:rPr>
          <w:rFonts w:ascii="Times New Roman" w:hAnsi="Times New Roman"/>
          <w:b w:val="0"/>
          <w:i w:val="0"/>
          <w:sz w:val="20"/>
        </w:rPr>
        <w:t>[14] Ahn, J., Amiti, M., &amp; Weinstein, D. E. (2011). Trade finance and the great trade collapse. American Economic Review: Papers &amp; Proceedings, 101(3), 298–302.</w:t>
      </w:r>
    </w:p>
    <w:p>
      <w:pPr>
        <w:spacing w:before="40" w:after="60"/>
        <w:ind w:left="504" w:hanging="504"/>
      </w:pPr>
      <w:r>
        <w:rPr>
          <w:rFonts w:ascii="Times New Roman" w:hAnsi="Times New Roman"/>
          <w:b w:val="0"/>
          <w:i w:val="0"/>
          <w:sz w:val="20"/>
        </w:rPr>
        <w:t>[15] Antras, P., &amp; Foley, C. F. (2015). Poultry in motion: A study of international trade finance practices. Journal of Political Economy, 123(4), 853–901.</w:t>
      </w:r>
    </w:p>
    <w:p>
      <w:pPr>
        <w:spacing w:before="40" w:after="60"/>
        <w:ind w:left="504" w:hanging="504"/>
      </w:pPr>
      <w:r>
        <w:rPr>
          <w:rFonts w:ascii="Times New Roman" w:hAnsi="Times New Roman"/>
          <w:b w:val="0"/>
          <w:i w:val="0"/>
          <w:sz w:val="20"/>
        </w:rPr>
        <w:t>[16] Petersen, M. A., &amp; Rajan, R. G. (1997). Trade credit: Theories and evidence. Review of Financial Studies, 10(3), 661–691.</w:t>
      </w:r>
    </w:p>
    <w:p>
      <w:pPr>
        <w:spacing w:before="40" w:after="60"/>
        <w:ind w:left="504" w:hanging="504"/>
      </w:pPr>
      <w:r>
        <w:rPr>
          <w:rFonts w:ascii="Times New Roman" w:hAnsi="Times New Roman"/>
          <w:b w:val="0"/>
          <w:i w:val="0"/>
          <w:sz w:val="20"/>
        </w:rPr>
        <w:t>[17] Ke, G., Meng, Q., Finley, T., Wang, T., Chen, W., Ma, W., ... &amp; Liu, T. Y. (2017). LightGBM: A highly efficient gradient boosting decision tree. Advances in Neural Information Processing Systems, 30.</w:t>
      </w:r>
    </w:p>
    <w:p>
      <w:pPr>
        <w:spacing w:before="40" w:after="60"/>
        <w:ind w:left="504" w:hanging="504"/>
      </w:pPr>
      <w:r>
        <w:rPr>
          <w:rFonts w:ascii="Times New Roman" w:hAnsi="Times New Roman"/>
          <w:b w:val="0"/>
          <w:i w:val="0"/>
          <w:sz w:val="20"/>
        </w:rPr>
        <w:t>[18] Platt, J. (1999). Probabilistic outputs for support vector machines and comparisons to regularized likelihood methods. Advances in Large Margin Classifiers, 10(3), 61–74.</w:t>
      </w:r>
    </w:p>
    <w:p>
      <w:pPr>
        <w:spacing w:before="40" w:after="60"/>
        <w:ind w:left="504" w:hanging="504"/>
      </w:pPr>
      <w:r>
        <w:rPr>
          <w:rFonts w:ascii="Times New Roman" w:hAnsi="Times New Roman"/>
          <w:b w:val="0"/>
          <w:i w:val="0"/>
          <w:sz w:val="20"/>
        </w:rPr>
        <w:t>[19] Zadrozny, B., &amp; Elkan, C. (2002). Transforming classifier scores into accurate multiclass probability estimates. Proceedings of ACM SIGKDD, 694–699.</w:t>
      </w:r>
    </w:p>
    <w:p>
      <w:pPr>
        <w:spacing w:before="40" w:after="60"/>
        <w:ind w:left="504" w:hanging="504"/>
      </w:pPr>
      <w:r>
        <w:rPr>
          <w:rFonts w:ascii="Times New Roman" w:hAnsi="Times New Roman"/>
          <w:b w:val="0"/>
          <w:i w:val="0"/>
          <w:sz w:val="20"/>
        </w:rPr>
        <w:t>[20] Lundberg, S. M., &amp; Lee, S. I. (2017). A unified approach to interpreting model predictions. Advances in Neural Information Processing Systems, 30.</w:t>
      </w:r>
    </w:p>
    <w:p>
      <w:pPr>
        <w:spacing w:before="40" w:after="60"/>
        <w:ind w:left="504" w:hanging="504"/>
      </w:pPr>
      <w:r>
        <w:rPr>
          <w:rFonts w:ascii="Times New Roman" w:hAnsi="Times New Roman"/>
          <w:b w:val="0"/>
          <w:i w:val="0"/>
          <w:sz w:val="20"/>
        </w:rPr>
        <w:t>[21] Damodaran, A. (2024). Cost of capital by industry sector. Stern School of Business, New York University. https://pages.stern.nyu.edu/~adamodar/</w:t>
      </w:r>
    </w:p>
    <w:p>
      <w:pPr>
        <w:spacing w:before="40" w:after="60"/>
        <w:ind w:left="504" w:hanging="504"/>
      </w:pPr>
      <w:r>
        <w:rPr>
          <w:rFonts w:ascii="Times New Roman" w:hAnsi="Times New Roman"/>
          <w:b w:val="0"/>
          <w:i w:val="0"/>
          <w:sz w:val="20"/>
        </w:rPr>
        <w:t>[22] Gregory, J. (2012). Counterparty Credit Risk and Credit Value Adjustment: A Continuing Challenge for Global Financial Markets (2nd ed.). Wiley Finance.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