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F5C5" w14:textId="77777777" w:rsidR="00423982" w:rsidRPr="00423982" w:rsidRDefault="00423982" w:rsidP="00423982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Temporal trends in VV ECMO </w:t>
      </w:r>
      <w:proofErr w:type="spellStart"/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utilisation</w:t>
      </w:r>
      <w:proofErr w:type="spellEnd"/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before and during the COVID-19 pandemic: an ELSO registry analysis </w:t>
      </w:r>
    </w:p>
    <w:p w14:paraId="6327B0B6" w14:textId="77777777" w:rsidR="00423982" w:rsidRDefault="00423982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423982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Supplementary Appendix</w:t>
      </w:r>
    </w:p>
    <w:p w14:paraId="68E488B8" w14:textId="77777777" w:rsidR="00423982" w:rsidRDefault="00423982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3DA97F6" w14:textId="77777777" w:rsidR="00C569B7" w:rsidRDefault="00423982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Ryan Ruiyang Ling, Kollengode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Ramanthan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Ying Chen, Ryan P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Barbaro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Kiran Shekar, Daniel Brodie, Graeme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MacLaren</w:t>
      </w:r>
      <w:proofErr w:type="spellEnd"/>
    </w:p>
    <w:p w14:paraId="2308F4B1" w14:textId="77777777" w:rsidR="00C569B7" w:rsidRDefault="00C569B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0A8B310" w14:textId="77777777" w:rsidR="00C569B7" w:rsidRDefault="00C569B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90B3EEC" w14:textId="728043DA" w:rsidR="00C569B7" w:rsidRPr="00C569B7" w:rsidRDefault="00C569B7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Table of contents</w:t>
      </w:r>
    </w:p>
    <w:p w14:paraId="35422CDA" w14:textId="4B5EC54F" w:rsidR="008D1C44" w:rsidRPr="008D1C44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r w:rsidRPr="008D1C44">
        <w:rPr>
          <w:color w:val="000000" w:themeColor="text1"/>
          <w:sz w:val="20"/>
          <w:szCs w:val="20"/>
          <w:lang w:val="en-US"/>
        </w:rPr>
        <w:fldChar w:fldCharType="begin"/>
      </w:r>
      <w:r w:rsidRPr="008D1C44">
        <w:rPr>
          <w:color w:val="000000" w:themeColor="text1"/>
          <w:sz w:val="20"/>
          <w:szCs w:val="20"/>
          <w:lang w:val="en-US"/>
        </w:rPr>
        <w:instrText xml:space="preserve"> TOC \o "1-3" \h \z \u </w:instrText>
      </w:r>
      <w:r w:rsidRPr="008D1C44">
        <w:rPr>
          <w:color w:val="000000" w:themeColor="text1"/>
          <w:sz w:val="20"/>
          <w:szCs w:val="20"/>
          <w:lang w:val="en-US"/>
        </w:rPr>
        <w:fldChar w:fldCharType="separate"/>
      </w:r>
      <w:hyperlink w:anchor="_Toc181399407" w:history="1">
        <w:r w:rsidR="008D1C44" w:rsidRPr="008D1C44">
          <w:rPr>
            <w:rStyle w:val="Hyperlink"/>
            <w:noProof/>
            <w:sz w:val="20"/>
            <w:szCs w:val="20"/>
          </w:rPr>
          <w:t>Supplementary methods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_Toc181399407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2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46BF6A7B" w14:textId="3A7AED7C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08" w:history="1">
        <w:r w:rsidR="008D1C44" w:rsidRPr="008D1C44">
          <w:rPr>
            <w:rStyle w:val="Hyperlink"/>
            <w:noProof/>
            <w:sz w:val="20"/>
            <w:szCs w:val="20"/>
          </w:rPr>
          <w:t>Figure S1. STROBE inclusion flowchart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_Toc181399408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3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3864CEDF" w14:textId="2510564E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09" w:history="1">
        <w:r w:rsidR="008D1C44" w:rsidRPr="008D1C44">
          <w:rPr>
            <w:rStyle w:val="Hyperlink"/>
            <w:noProof/>
            <w:sz w:val="20"/>
            <w:szCs w:val="20"/>
          </w:rPr>
          <w:t>Table S1. Trends in centre characteristics over time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_Toc181399409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4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0E6100DB" w14:textId="78392229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0" w:history="1">
        <w:r w:rsidR="008D1C44" w:rsidRPr="008D1C44">
          <w:rPr>
            <w:rStyle w:val="Hyperlink"/>
            <w:noProof/>
            <w:sz w:val="20"/>
            <w:szCs w:val="20"/>
          </w:rPr>
          <w:t>Table S2. Centre characteristics over time, stratified by ELSO chapter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_Toc181399410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4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3A6A7BBE" w14:textId="4B96FC4A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1" w:history="1">
        <w:r w:rsidR="008D1C44" w:rsidRPr="008D1C44">
          <w:rPr>
            <w:rStyle w:val="Hyperlink"/>
            <w:noProof/>
            <w:sz w:val="20"/>
            <w:szCs w:val="20"/>
          </w:rPr>
          <w:t>Figure S2. Alluvial plot depicting reporting practices of centres across time periods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_Toc181399411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5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221A0BFB" w14:textId="7D17390E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2" w:history="1">
        <w:r w:rsidR="008D1C44" w:rsidRPr="008D1C44">
          <w:rPr>
            <w:rStyle w:val="Hyperlink"/>
            <w:noProof/>
            <w:sz w:val="20"/>
            <w:szCs w:val="20"/>
          </w:rPr>
          <w:t>Figure S3. Trends in centre volume across time periods stratified by ELSO chapter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_Toc181399412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6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5C4A5B7F" w14:textId="37076BB2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3" w:history="1">
        <w:r w:rsidR="008D1C44" w:rsidRPr="008D1C44">
          <w:rPr>
            <w:rStyle w:val="Hyperlink"/>
            <w:noProof/>
            <w:sz w:val="20"/>
            <w:szCs w:val="20"/>
          </w:rPr>
          <w:t>Table S3. Demographics, centre, and pre-ECMO characteristics across the three time periods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_Toc181399413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7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2BA503A2" w14:textId="0CA86622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4" w:history="1">
        <w:r w:rsidR="008D1C44" w:rsidRPr="008D1C44">
          <w:rPr>
            <w:rStyle w:val="Hyperlink"/>
            <w:noProof/>
            <w:sz w:val="20"/>
            <w:szCs w:val="20"/>
          </w:rPr>
          <w:t>Table S4. Arterial blood gas before and after ECMO initiation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_Toc181399414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8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7489384A" w14:textId="26A5AD37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5" w:history="1">
        <w:r w:rsidR="008D1C44" w:rsidRPr="008D1C44">
          <w:rPr>
            <w:rStyle w:val="Hyperlink"/>
            <w:noProof/>
            <w:sz w:val="20"/>
            <w:szCs w:val="20"/>
          </w:rPr>
          <w:t>Table S5. Ventilatory parameters before and after ECMO initiation, across time periods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_Toc181399415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9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4F4151F0" w14:textId="7B4688F4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6" w:history="1">
        <w:r w:rsidR="008D1C44" w:rsidRPr="008D1C44">
          <w:rPr>
            <w:rStyle w:val="Hyperlink"/>
            <w:noProof/>
            <w:sz w:val="20"/>
            <w:szCs w:val="20"/>
          </w:rPr>
          <w:t>Table S6. Pre-ECMO adjunctive therapies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_Toc181399416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10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17F142F9" w14:textId="70198385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7" w:history="1">
        <w:r w:rsidR="008D1C44" w:rsidRPr="008D1C44">
          <w:rPr>
            <w:rStyle w:val="Hyperlink"/>
            <w:noProof/>
            <w:sz w:val="20"/>
            <w:szCs w:val="20"/>
          </w:rPr>
          <w:t>Table S7. Unadjusted survival estimates at 90 days after ECMO initiation across time periods, and annually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_Toc181399417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10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1DA31BAF" w14:textId="11BE5758" w:rsidR="008D1C44" w:rsidRPr="008D1C44" w:rsidRDefault="0000000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81399418" w:history="1">
        <w:r w:rsidR="008D1C44" w:rsidRPr="008D1C44">
          <w:rPr>
            <w:rStyle w:val="Hyperlink"/>
            <w:noProof/>
            <w:sz w:val="20"/>
            <w:szCs w:val="20"/>
          </w:rPr>
          <w:t>Table S8. Complications while receiving ECMO</w:t>
        </w:r>
        <w:r w:rsidR="008D1C44" w:rsidRPr="008D1C44">
          <w:rPr>
            <w:noProof/>
            <w:webHidden/>
            <w:sz w:val="20"/>
            <w:szCs w:val="20"/>
          </w:rPr>
          <w:tab/>
        </w:r>
        <w:r w:rsidR="008D1C44" w:rsidRPr="008D1C44">
          <w:rPr>
            <w:noProof/>
            <w:webHidden/>
            <w:sz w:val="20"/>
            <w:szCs w:val="20"/>
          </w:rPr>
          <w:fldChar w:fldCharType="begin"/>
        </w:r>
        <w:r w:rsidR="008D1C44" w:rsidRPr="008D1C44">
          <w:rPr>
            <w:noProof/>
            <w:webHidden/>
            <w:sz w:val="20"/>
            <w:szCs w:val="20"/>
          </w:rPr>
          <w:instrText xml:space="preserve"> PAGEREF _Toc181399418 \h </w:instrText>
        </w:r>
        <w:r w:rsidR="008D1C44" w:rsidRPr="008D1C44">
          <w:rPr>
            <w:noProof/>
            <w:webHidden/>
            <w:sz w:val="20"/>
            <w:szCs w:val="20"/>
          </w:rPr>
        </w:r>
        <w:r w:rsidR="008D1C44" w:rsidRPr="008D1C44">
          <w:rPr>
            <w:noProof/>
            <w:webHidden/>
            <w:sz w:val="20"/>
            <w:szCs w:val="20"/>
          </w:rPr>
          <w:fldChar w:fldCharType="separate"/>
        </w:r>
        <w:r w:rsidR="008D1C44" w:rsidRPr="008D1C44">
          <w:rPr>
            <w:noProof/>
            <w:webHidden/>
            <w:sz w:val="20"/>
            <w:szCs w:val="20"/>
          </w:rPr>
          <w:t>11</w:t>
        </w:r>
        <w:r w:rsidR="008D1C44" w:rsidRPr="008D1C44">
          <w:rPr>
            <w:noProof/>
            <w:webHidden/>
            <w:sz w:val="20"/>
            <w:szCs w:val="20"/>
          </w:rPr>
          <w:fldChar w:fldCharType="end"/>
        </w:r>
      </w:hyperlink>
    </w:p>
    <w:p w14:paraId="3EBED4AF" w14:textId="1569B828" w:rsidR="00423982" w:rsidRPr="00423982" w:rsidRDefault="00C569B7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8D1C44">
        <w:rPr>
          <w:rFonts w:ascii="Arial" w:hAnsi="Arial" w:cs="Arial"/>
          <w:color w:val="000000" w:themeColor="text1"/>
          <w:sz w:val="20"/>
          <w:szCs w:val="20"/>
          <w:lang w:val="en-US"/>
        </w:rPr>
        <w:fldChar w:fldCharType="end"/>
      </w:r>
      <w:r w:rsidR="00423982" w:rsidRPr="00423982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br w:type="page"/>
      </w:r>
    </w:p>
    <w:p w14:paraId="6D813463" w14:textId="6696B586" w:rsidR="00AC5290" w:rsidRPr="00C569B7" w:rsidRDefault="00AC5290" w:rsidP="003721DF">
      <w:pPr>
        <w:pStyle w:val="Heading1"/>
      </w:pPr>
      <w:bookmarkStart w:id="0" w:name="_Toc181399407"/>
      <w:r w:rsidRPr="00C569B7">
        <w:lastRenderedPageBreak/>
        <w:t>Supplementary methods</w:t>
      </w:r>
      <w:bookmarkEnd w:id="0"/>
    </w:p>
    <w:p w14:paraId="5FAA7BBD" w14:textId="4FA37F29" w:rsidR="002A2077" w:rsidRDefault="002A207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For continuous variables we reported median (25</w:t>
      </w:r>
      <w:r w:rsidRPr="009272E2">
        <w:rPr>
          <w:rFonts w:ascii="Arial" w:hAnsi="Arial" w:cs="Arial"/>
          <w:color w:val="000000" w:themeColor="text1"/>
          <w:sz w:val="20"/>
          <w:szCs w:val="20"/>
          <w:vertAlign w:val="superscript"/>
          <w:lang w:val="en-US"/>
        </w:rPr>
        <w:t>th</w:t>
      </w: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-75</w:t>
      </w:r>
      <w:r w:rsidRPr="009272E2">
        <w:rPr>
          <w:rFonts w:ascii="Arial" w:hAnsi="Arial" w:cs="Arial"/>
          <w:color w:val="000000" w:themeColor="text1"/>
          <w:sz w:val="20"/>
          <w:szCs w:val="20"/>
          <w:vertAlign w:val="superscript"/>
          <w:lang w:val="en-US"/>
        </w:rPr>
        <w:t>th</w:t>
      </w: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percentiles), and for numerical variables, we reported counts and percentages. We compared groups using the chi-squared test for discrete outcomes and the Kruskal-</w:t>
      </w:r>
      <w:proofErr w:type="gramStart"/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Wallis</w:t>
      </w:r>
      <w:proofErr w:type="gramEnd"/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test for continuous outcomes. We conducted the analysis using RStudio 4.2.2.</w:t>
      </w:r>
    </w:p>
    <w:p w14:paraId="3F3B6299" w14:textId="77777777" w:rsidR="00CA2E38" w:rsidRDefault="00CA2E38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380484F" w14:textId="3D784890" w:rsidR="00CA2E38" w:rsidRDefault="00CA2E38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For ratios of incidence rates, we first determined the incidence rate of ECMO by taking the number of ECMO runs divided by the number of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centres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We then divided the incidence rate of ECMO of one year by the incidence rate of the preceding year. We derived the standard deviation and consequently 95% confidence intervals based on the methods outlined by Suthar et al. 2012. (see reference below). </w:t>
      </w:r>
    </w:p>
    <w:p w14:paraId="5C6FBD1B" w14:textId="77777777" w:rsidR="00CA2E38" w:rsidRDefault="00CA2E38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7F5A332" w14:textId="44CCD1D5" w:rsidR="00CA2E38" w:rsidRDefault="00CA2E38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In order to better understand the incidence rate ratios over time, we used a non-linear modelling method using restricted cubic splines with four knots to describe the trends incidence rate ratios. </w:t>
      </w:r>
    </w:p>
    <w:p w14:paraId="54019246" w14:textId="77777777" w:rsidR="002A2077" w:rsidRDefault="002A207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BD16B00" w14:textId="77777777" w:rsidR="00AC5290" w:rsidRDefault="00AC529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br w:type="page"/>
      </w:r>
    </w:p>
    <w:p w14:paraId="5932CA61" w14:textId="02772949" w:rsidR="00091AEE" w:rsidRPr="003D46D8" w:rsidRDefault="00AC5290" w:rsidP="003721DF">
      <w:pPr>
        <w:pStyle w:val="Heading1"/>
      </w:pPr>
      <w:bookmarkStart w:id="1" w:name="_Toc181399408"/>
      <w:r w:rsidRPr="00AC5290">
        <w:lastRenderedPageBreak/>
        <w:t>Figure S1</w:t>
      </w:r>
      <w:r>
        <w:t>. STROBE inclusion flowchart</w:t>
      </w:r>
      <w:bookmarkEnd w:id="1"/>
    </w:p>
    <w:p w14:paraId="00260A4C" w14:textId="15FD5F26" w:rsidR="00F22461" w:rsidRDefault="003D46D8">
      <w:pPr>
        <w:rPr>
          <w:rFonts w:ascii="Arial" w:hAnsi="Arial" w:cs="Arial"/>
          <w:b/>
          <w:bCs/>
          <w:color w:val="000000" w:themeColor="text1"/>
          <w:sz w:val="20"/>
          <w:szCs w:val="20"/>
        </w:rPr>
        <w:sectPr w:rsidR="00F22461" w:rsidSect="00091AEE"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437E8BB" wp14:editId="1FBE4162">
            <wp:extent cx="4956739" cy="7202658"/>
            <wp:effectExtent l="0" t="0" r="0" b="0"/>
            <wp:docPr id="15142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3947" name="Picture 1514253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63" cy="72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95A" w14:textId="0FA13E32" w:rsidR="007047FD" w:rsidRDefault="007047FD" w:rsidP="000241B9">
      <w:pPr>
        <w:pStyle w:val="Heading1"/>
      </w:pPr>
      <w:bookmarkStart w:id="2" w:name="_Toc181399409"/>
      <w:r>
        <w:lastRenderedPageBreak/>
        <w:t>Table S</w:t>
      </w:r>
      <w:r w:rsidR="003721DF">
        <w:t>1</w:t>
      </w:r>
      <w:r>
        <w:t>. Trends in centre characteristics over time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519"/>
        <w:gridCol w:w="1740"/>
        <w:gridCol w:w="1740"/>
        <w:gridCol w:w="1740"/>
        <w:gridCol w:w="1740"/>
        <w:gridCol w:w="1740"/>
        <w:gridCol w:w="1658"/>
      </w:tblGrid>
      <w:tr w:rsidR="007047FD" w14:paraId="28B5FDDC" w14:textId="37835DFC" w:rsidTr="007047FD">
        <w:tc>
          <w:tcPr>
            <w:tcW w:w="2053" w:type="dxa"/>
          </w:tcPr>
          <w:p w14:paraId="2918AF4A" w14:textId="10C1F0C8" w:rsidR="007047FD" w:rsidRPr="007047FD" w:rsidRDefault="007047F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19" w:type="dxa"/>
          </w:tcPr>
          <w:p w14:paraId="330968C0" w14:textId="274EF6A9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1740" w:type="dxa"/>
          </w:tcPr>
          <w:p w14:paraId="0B045071" w14:textId="65129C9E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1740" w:type="dxa"/>
          </w:tcPr>
          <w:p w14:paraId="3F8EA57D" w14:textId="3398623F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740" w:type="dxa"/>
          </w:tcPr>
          <w:p w14:paraId="5E6F8D37" w14:textId="0C610078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1740" w:type="dxa"/>
          </w:tcPr>
          <w:p w14:paraId="78896AE4" w14:textId="1DA8FC7E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740" w:type="dxa"/>
          </w:tcPr>
          <w:p w14:paraId="4AD6ACF5" w14:textId="50CB198E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1658" w:type="dxa"/>
          </w:tcPr>
          <w:p w14:paraId="45B96F61" w14:textId="6D7829EF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7047FD" w14:paraId="3D2FE0E8" w14:textId="75F2A61D" w:rsidTr="007047FD">
        <w:tc>
          <w:tcPr>
            <w:tcW w:w="2053" w:type="dxa"/>
          </w:tcPr>
          <w:p w14:paraId="68D8A601" w14:textId="05C08443" w:rsidR="007047FD" w:rsidRPr="007047FD" w:rsidRDefault="007047F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centres</w:t>
            </w:r>
          </w:p>
        </w:tc>
        <w:tc>
          <w:tcPr>
            <w:tcW w:w="1519" w:type="dxa"/>
          </w:tcPr>
          <w:p w14:paraId="5A656055" w14:textId="69ACCFE9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277</w:t>
            </w:r>
          </w:p>
        </w:tc>
        <w:tc>
          <w:tcPr>
            <w:tcW w:w="1740" w:type="dxa"/>
          </w:tcPr>
          <w:p w14:paraId="7E2D9343" w14:textId="375DA806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315</w:t>
            </w:r>
          </w:p>
        </w:tc>
        <w:tc>
          <w:tcPr>
            <w:tcW w:w="1740" w:type="dxa"/>
          </w:tcPr>
          <w:p w14:paraId="3577713E" w14:textId="47B6D6A7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355</w:t>
            </w:r>
          </w:p>
        </w:tc>
        <w:tc>
          <w:tcPr>
            <w:tcW w:w="1740" w:type="dxa"/>
          </w:tcPr>
          <w:p w14:paraId="424033C3" w14:textId="77A92E2F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418</w:t>
            </w:r>
          </w:p>
        </w:tc>
        <w:tc>
          <w:tcPr>
            <w:tcW w:w="1740" w:type="dxa"/>
          </w:tcPr>
          <w:p w14:paraId="340E8A52" w14:textId="61152BD2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469</w:t>
            </w:r>
          </w:p>
        </w:tc>
        <w:tc>
          <w:tcPr>
            <w:tcW w:w="1740" w:type="dxa"/>
          </w:tcPr>
          <w:p w14:paraId="2CDD3465" w14:textId="46F527C4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418</w:t>
            </w:r>
          </w:p>
        </w:tc>
        <w:tc>
          <w:tcPr>
            <w:tcW w:w="1658" w:type="dxa"/>
          </w:tcPr>
          <w:p w14:paraId="78DBAA7B" w14:textId="347E2684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382</w:t>
            </w:r>
          </w:p>
        </w:tc>
      </w:tr>
      <w:tr w:rsidR="007047FD" w:rsidRPr="007047FD" w14:paraId="67175D2A" w14:textId="1E282BF1" w:rsidTr="007047FD">
        <w:tc>
          <w:tcPr>
            <w:tcW w:w="2053" w:type="dxa"/>
          </w:tcPr>
          <w:p w14:paraId="70D3F26E" w14:textId="3B24014E" w:rsidR="007047FD" w:rsidRPr="007047FD" w:rsidRDefault="007047F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Centre volume</w:t>
            </w:r>
          </w:p>
        </w:tc>
        <w:tc>
          <w:tcPr>
            <w:tcW w:w="1519" w:type="dxa"/>
          </w:tcPr>
          <w:p w14:paraId="0E08511D" w14:textId="50B013F9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22 (11-39)</w:t>
            </w:r>
          </w:p>
        </w:tc>
        <w:tc>
          <w:tcPr>
            <w:tcW w:w="1740" w:type="dxa"/>
          </w:tcPr>
          <w:p w14:paraId="701C6F6B" w14:textId="181DD1DD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22 (11-40)</w:t>
            </w:r>
          </w:p>
        </w:tc>
        <w:tc>
          <w:tcPr>
            <w:tcW w:w="1740" w:type="dxa"/>
          </w:tcPr>
          <w:p w14:paraId="0DEB4A52" w14:textId="0CE6C73D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26 (12-44)</w:t>
            </w:r>
          </w:p>
        </w:tc>
        <w:tc>
          <w:tcPr>
            <w:tcW w:w="1740" w:type="dxa"/>
          </w:tcPr>
          <w:p w14:paraId="168ED561" w14:textId="2FBE8CE0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37 (20-63)</w:t>
            </w:r>
          </w:p>
        </w:tc>
        <w:tc>
          <w:tcPr>
            <w:tcW w:w="1740" w:type="dxa"/>
          </w:tcPr>
          <w:p w14:paraId="009C9673" w14:textId="7D2BD84A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37 (21-65)</w:t>
            </w:r>
          </w:p>
        </w:tc>
        <w:tc>
          <w:tcPr>
            <w:tcW w:w="1740" w:type="dxa"/>
          </w:tcPr>
          <w:p w14:paraId="124473B3" w14:textId="7F133303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18 (9-32)</w:t>
            </w:r>
          </w:p>
        </w:tc>
        <w:tc>
          <w:tcPr>
            <w:tcW w:w="1658" w:type="dxa"/>
          </w:tcPr>
          <w:p w14:paraId="062A8EC0" w14:textId="5E640EA8" w:rsidR="007047FD" w:rsidRPr="007047FD" w:rsidRDefault="007047FD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color w:val="000000" w:themeColor="text1"/>
                <w:sz w:val="20"/>
                <w:szCs w:val="20"/>
              </w:rPr>
              <w:t>15 (8-26)</w:t>
            </w:r>
          </w:p>
        </w:tc>
      </w:tr>
      <w:tr w:rsidR="007047FD" w14:paraId="61388612" w14:textId="29B31931" w:rsidTr="007047FD">
        <w:tc>
          <w:tcPr>
            <w:tcW w:w="2053" w:type="dxa"/>
          </w:tcPr>
          <w:p w14:paraId="065DF003" w14:textId="0EC1E2AA" w:rsidR="007047FD" w:rsidRPr="007047FD" w:rsidRDefault="007047F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047F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Incidence rate ratio</w:t>
            </w:r>
          </w:p>
        </w:tc>
        <w:tc>
          <w:tcPr>
            <w:tcW w:w="1519" w:type="dxa"/>
          </w:tcPr>
          <w:p w14:paraId="5CCD537E" w14:textId="0A1AAB37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Ref</w:t>
            </w:r>
          </w:p>
        </w:tc>
        <w:tc>
          <w:tcPr>
            <w:tcW w:w="1740" w:type="dxa"/>
          </w:tcPr>
          <w:p w14:paraId="4C08EFA6" w14:textId="1E11F65B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1.03 (0.99-1.08)</w:t>
            </w:r>
          </w:p>
        </w:tc>
        <w:tc>
          <w:tcPr>
            <w:tcW w:w="1740" w:type="dxa"/>
          </w:tcPr>
          <w:p w14:paraId="0DDE9C35" w14:textId="7575CA33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1.08 (1.03-1.13)</w:t>
            </w:r>
          </w:p>
        </w:tc>
        <w:tc>
          <w:tcPr>
            <w:tcW w:w="1740" w:type="dxa"/>
          </w:tcPr>
          <w:p w14:paraId="301B5C1F" w14:textId="20239864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1.44 (1.39-1.49)</w:t>
            </w:r>
          </w:p>
        </w:tc>
        <w:tc>
          <w:tcPr>
            <w:tcW w:w="1740" w:type="dxa"/>
          </w:tcPr>
          <w:p w14:paraId="24A9D3F3" w14:textId="3F20CD77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1.04 (1.01-1.07)</w:t>
            </w:r>
          </w:p>
        </w:tc>
        <w:tc>
          <w:tcPr>
            <w:tcW w:w="1740" w:type="dxa"/>
          </w:tcPr>
          <w:p w14:paraId="2234DE15" w14:textId="37305B85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0.46 (0.44-0.48)</w:t>
            </w:r>
          </w:p>
        </w:tc>
        <w:tc>
          <w:tcPr>
            <w:tcW w:w="1658" w:type="dxa"/>
          </w:tcPr>
          <w:p w14:paraId="56DA448A" w14:textId="0242B195" w:rsidR="007047FD" w:rsidRPr="007047FD" w:rsidRDefault="008F352E" w:rsidP="007047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0.84 (0.80-0.88)</w:t>
            </w:r>
          </w:p>
        </w:tc>
      </w:tr>
    </w:tbl>
    <w:p w14:paraId="35C7E7F2" w14:textId="77777777" w:rsidR="007047FD" w:rsidRDefault="007047F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C61C1B8" w14:textId="77777777" w:rsidR="007047FD" w:rsidRPr="00B46B2D" w:rsidRDefault="007047F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971B5EA" w14:textId="02F8A211" w:rsidR="00EC547E" w:rsidRPr="00B46B2D" w:rsidRDefault="005F552B" w:rsidP="000241B9">
      <w:pPr>
        <w:pStyle w:val="Heading1"/>
      </w:pPr>
      <w:bookmarkStart w:id="3" w:name="_Toc181399410"/>
      <w:r w:rsidRPr="00B46B2D">
        <w:t>Table S</w:t>
      </w:r>
      <w:r w:rsidR="003721DF">
        <w:t>2</w:t>
      </w:r>
      <w:r w:rsidRPr="00B46B2D">
        <w:t xml:space="preserve">. </w:t>
      </w:r>
      <w:r w:rsidR="00C8505B" w:rsidRPr="00B46B2D">
        <w:t>Centre characteristics over time, stratified by ELSO chapter</w:t>
      </w:r>
      <w:bookmarkEnd w:id="3"/>
      <w:r w:rsidRPr="00B46B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2268"/>
      </w:tblGrid>
      <w:tr w:rsidR="00C8505B" w:rsidRPr="00B46B2D" w14:paraId="1EB5B1D8" w14:textId="77777777" w:rsidTr="00C8505B">
        <w:tc>
          <w:tcPr>
            <w:tcW w:w="2830" w:type="dxa"/>
            <w:vAlign w:val="center"/>
          </w:tcPr>
          <w:p w14:paraId="6F74314D" w14:textId="379ECA08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2127" w:type="dxa"/>
            <w:vAlign w:val="center"/>
          </w:tcPr>
          <w:p w14:paraId="579447D0" w14:textId="22A0BE23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6" w:type="dxa"/>
            <w:vAlign w:val="center"/>
          </w:tcPr>
          <w:p w14:paraId="6E93E5AE" w14:textId="3C503B52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2268" w:type="dxa"/>
            <w:vAlign w:val="center"/>
          </w:tcPr>
          <w:p w14:paraId="3ADF2C5D" w14:textId="4BBDC85F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</w:tr>
      <w:tr w:rsidR="00C8505B" w:rsidRPr="00B46B2D" w14:paraId="6E8E4B63" w14:textId="77777777" w:rsidTr="003D61ED">
        <w:tc>
          <w:tcPr>
            <w:tcW w:w="9351" w:type="dxa"/>
            <w:gridSpan w:val="4"/>
          </w:tcPr>
          <w:p w14:paraId="68C527A1" w14:textId="06D55986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centres</w:t>
            </w:r>
          </w:p>
        </w:tc>
      </w:tr>
      <w:tr w:rsidR="00C8505B" w:rsidRPr="00B46B2D" w14:paraId="12106AE8" w14:textId="77777777" w:rsidTr="00C8505B">
        <w:tc>
          <w:tcPr>
            <w:tcW w:w="2830" w:type="dxa"/>
          </w:tcPr>
          <w:p w14:paraId="3B747EF1" w14:textId="53DB031B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Asia-Pacific</w:t>
            </w:r>
          </w:p>
        </w:tc>
        <w:tc>
          <w:tcPr>
            <w:tcW w:w="2127" w:type="dxa"/>
          </w:tcPr>
          <w:p w14:paraId="7F36A45C" w14:textId="5FA41300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2126" w:type="dxa"/>
          </w:tcPr>
          <w:p w14:paraId="6E4C6231" w14:textId="40A80A18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2268" w:type="dxa"/>
          </w:tcPr>
          <w:p w14:paraId="035FECE9" w14:textId="2873B97B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</w:tr>
      <w:tr w:rsidR="00C8505B" w:rsidRPr="00B46B2D" w14:paraId="123AB2C0" w14:textId="77777777" w:rsidTr="00C8505B">
        <w:tc>
          <w:tcPr>
            <w:tcW w:w="2830" w:type="dxa"/>
          </w:tcPr>
          <w:p w14:paraId="1AE20BF8" w14:textId="772B7C62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North America</w:t>
            </w:r>
          </w:p>
        </w:tc>
        <w:tc>
          <w:tcPr>
            <w:tcW w:w="2127" w:type="dxa"/>
          </w:tcPr>
          <w:p w14:paraId="6CF1D9B8" w14:textId="06F4732A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238</w:t>
            </w:r>
          </w:p>
        </w:tc>
        <w:tc>
          <w:tcPr>
            <w:tcW w:w="2126" w:type="dxa"/>
          </w:tcPr>
          <w:p w14:paraId="153A63A1" w14:textId="36352669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2268" w:type="dxa"/>
          </w:tcPr>
          <w:p w14:paraId="7C0CCDA8" w14:textId="21312EB3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254</w:t>
            </w:r>
          </w:p>
        </w:tc>
      </w:tr>
      <w:tr w:rsidR="00C8505B" w:rsidRPr="00B46B2D" w14:paraId="2D081273" w14:textId="77777777" w:rsidTr="00C8505B">
        <w:tc>
          <w:tcPr>
            <w:tcW w:w="2830" w:type="dxa"/>
          </w:tcPr>
          <w:p w14:paraId="70E82805" w14:textId="260AC75C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Latin America</w:t>
            </w:r>
          </w:p>
        </w:tc>
        <w:tc>
          <w:tcPr>
            <w:tcW w:w="2127" w:type="dxa"/>
          </w:tcPr>
          <w:p w14:paraId="15543178" w14:textId="0C1A572E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126" w:type="dxa"/>
          </w:tcPr>
          <w:p w14:paraId="59FA8090" w14:textId="33D9DF10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268" w:type="dxa"/>
          </w:tcPr>
          <w:p w14:paraId="7A230873" w14:textId="203BFAB1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</w:tr>
      <w:tr w:rsidR="00C8505B" w:rsidRPr="00B46B2D" w14:paraId="1888BABD" w14:textId="77777777" w:rsidTr="00C8505B">
        <w:tc>
          <w:tcPr>
            <w:tcW w:w="2830" w:type="dxa"/>
          </w:tcPr>
          <w:p w14:paraId="3A49B01C" w14:textId="7FB29992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Europe</w:t>
            </w:r>
          </w:p>
        </w:tc>
        <w:tc>
          <w:tcPr>
            <w:tcW w:w="2127" w:type="dxa"/>
          </w:tcPr>
          <w:p w14:paraId="37F5E875" w14:textId="6A6F4199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126" w:type="dxa"/>
          </w:tcPr>
          <w:p w14:paraId="6FE39283" w14:textId="7BFA6665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68" w:type="dxa"/>
          </w:tcPr>
          <w:p w14:paraId="0878ACC5" w14:textId="33BF64FD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</w:tr>
      <w:tr w:rsidR="00C8505B" w:rsidRPr="00B46B2D" w14:paraId="4FB58114" w14:textId="77777777" w:rsidTr="00C8505B">
        <w:tc>
          <w:tcPr>
            <w:tcW w:w="2830" w:type="dxa"/>
          </w:tcPr>
          <w:p w14:paraId="3BDA9391" w14:textId="77777777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South West Asia &amp; Africa</w:t>
            </w:r>
          </w:p>
          <w:p w14:paraId="5070AED7" w14:textId="60638883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DF04134" w14:textId="10E50412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126" w:type="dxa"/>
          </w:tcPr>
          <w:p w14:paraId="55022C39" w14:textId="0CEC78DC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268" w:type="dxa"/>
          </w:tcPr>
          <w:p w14:paraId="4F6779B9" w14:textId="06E3F460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</w:p>
        </w:tc>
      </w:tr>
      <w:tr w:rsidR="00C8505B" w:rsidRPr="00B46B2D" w14:paraId="310EA5ED" w14:textId="77777777" w:rsidTr="00CC69BF">
        <w:tc>
          <w:tcPr>
            <w:tcW w:w="9351" w:type="dxa"/>
            <w:gridSpan w:val="4"/>
          </w:tcPr>
          <w:p w14:paraId="7C5702AD" w14:textId="0D88EDDF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Centre volume</w:t>
            </w:r>
          </w:p>
        </w:tc>
      </w:tr>
      <w:tr w:rsidR="00C8505B" w:rsidRPr="00B46B2D" w14:paraId="24723C72" w14:textId="77777777" w:rsidTr="000C01F7">
        <w:tc>
          <w:tcPr>
            <w:tcW w:w="2830" w:type="dxa"/>
          </w:tcPr>
          <w:p w14:paraId="1A005156" w14:textId="3D377841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Asia-Pacific</w:t>
            </w:r>
          </w:p>
        </w:tc>
        <w:tc>
          <w:tcPr>
            <w:tcW w:w="2127" w:type="dxa"/>
          </w:tcPr>
          <w:p w14:paraId="193D1AB9" w14:textId="1D7BF3BB" w:rsidR="00C8505B" w:rsidRPr="00B46B2D" w:rsidRDefault="00C8505B" w:rsidP="00C850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/>
                <w:sz w:val="20"/>
                <w:szCs w:val="20"/>
              </w:rPr>
              <w:t>40 (19-65)</w:t>
            </w:r>
          </w:p>
        </w:tc>
        <w:tc>
          <w:tcPr>
            <w:tcW w:w="2126" w:type="dxa"/>
            <w:vAlign w:val="bottom"/>
          </w:tcPr>
          <w:p w14:paraId="5836F3D0" w14:textId="2FB9D35B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/>
                <w:sz w:val="20"/>
                <w:szCs w:val="20"/>
              </w:rPr>
              <w:t>31 (20-76)</w:t>
            </w:r>
          </w:p>
        </w:tc>
        <w:tc>
          <w:tcPr>
            <w:tcW w:w="2268" w:type="dxa"/>
            <w:vAlign w:val="bottom"/>
          </w:tcPr>
          <w:p w14:paraId="4F344CC7" w14:textId="117AB44F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/>
                <w:sz w:val="20"/>
                <w:szCs w:val="20"/>
              </w:rPr>
              <w:t>7 (4-16)</w:t>
            </w:r>
          </w:p>
        </w:tc>
      </w:tr>
      <w:tr w:rsidR="00C8505B" w:rsidRPr="00B46B2D" w14:paraId="5D6B0411" w14:textId="77777777" w:rsidTr="009F7D87">
        <w:tc>
          <w:tcPr>
            <w:tcW w:w="2830" w:type="dxa"/>
          </w:tcPr>
          <w:p w14:paraId="55F1F57E" w14:textId="140D1D79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North America</w:t>
            </w:r>
          </w:p>
        </w:tc>
        <w:tc>
          <w:tcPr>
            <w:tcW w:w="2127" w:type="dxa"/>
            <w:vAlign w:val="bottom"/>
          </w:tcPr>
          <w:p w14:paraId="3E63B738" w14:textId="6D5A378F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64 (32-112)</w:t>
            </w:r>
          </w:p>
        </w:tc>
        <w:tc>
          <w:tcPr>
            <w:tcW w:w="2126" w:type="dxa"/>
          </w:tcPr>
          <w:p w14:paraId="1278AE06" w14:textId="20FF3CCC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87 (50-160)</w:t>
            </w:r>
          </w:p>
        </w:tc>
        <w:tc>
          <w:tcPr>
            <w:tcW w:w="2268" w:type="dxa"/>
          </w:tcPr>
          <w:p w14:paraId="3AB8C504" w14:textId="060254CE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15 (9-31)</w:t>
            </w:r>
          </w:p>
        </w:tc>
      </w:tr>
      <w:tr w:rsidR="00C8505B" w:rsidRPr="00B46B2D" w14:paraId="69EA0D7F" w14:textId="77777777" w:rsidTr="009F7D87">
        <w:tc>
          <w:tcPr>
            <w:tcW w:w="2830" w:type="dxa"/>
          </w:tcPr>
          <w:p w14:paraId="6D87E34E" w14:textId="563065DA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Latin America</w:t>
            </w:r>
          </w:p>
        </w:tc>
        <w:tc>
          <w:tcPr>
            <w:tcW w:w="2127" w:type="dxa"/>
            <w:vAlign w:val="bottom"/>
          </w:tcPr>
          <w:p w14:paraId="11280D17" w14:textId="4B333BA7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14 (8-22.75)</w:t>
            </w:r>
          </w:p>
        </w:tc>
        <w:tc>
          <w:tcPr>
            <w:tcW w:w="2126" w:type="dxa"/>
          </w:tcPr>
          <w:p w14:paraId="488AF89B" w14:textId="0D390D76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55 (23-113_</w:t>
            </w:r>
          </w:p>
        </w:tc>
        <w:tc>
          <w:tcPr>
            <w:tcW w:w="2268" w:type="dxa"/>
          </w:tcPr>
          <w:p w14:paraId="16703691" w14:textId="55A4E123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23 (5.25-33)</w:t>
            </w:r>
          </w:p>
        </w:tc>
      </w:tr>
      <w:tr w:rsidR="00C8505B" w:rsidRPr="00B46B2D" w14:paraId="0CA88D6E" w14:textId="77777777" w:rsidTr="00C8505B">
        <w:tc>
          <w:tcPr>
            <w:tcW w:w="2830" w:type="dxa"/>
          </w:tcPr>
          <w:p w14:paraId="5314C383" w14:textId="19C02D32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Europe</w:t>
            </w:r>
          </w:p>
        </w:tc>
        <w:tc>
          <w:tcPr>
            <w:tcW w:w="2127" w:type="dxa"/>
          </w:tcPr>
          <w:p w14:paraId="5E9D5486" w14:textId="3307567D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98 (32-170)</w:t>
            </w:r>
          </w:p>
        </w:tc>
        <w:tc>
          <w:tcPr>
            <w:tcW w:w="2126" w:type="dxa"/>
          </w:tcPr>
          <w:p w14:paraId="54C09403" w14:textId="4151E534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74 (39-208)</w:t>
            </w:r>
          </w:p>
        </w:tc>
        <w:tc>
          <w:tcPr>
            <w:tcW w:w="2268" w:type="dxa"/>
          </w:tcPr>
          <w:p w14:paraId="7AFB102D" w14:textId="7C88145C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12 (6-20)</w:t>
            </w:r>
          </w:p>
        </w:tc>
      </w:tr>
      <w:tr w:rsidR="00C8505B" w:rsidRPr="00B46B2D" w14:paraId="50EF8DF1" w14:textId="77777777" w:rsidTr="00C8505B">
        <w:tc>
          <w:tcPr>
            <w:tcW w:w="2830" w:type="dxa"/>
          </w:tcPr>
          <w:p w14:paraId="7C929833" w14:textId="77777777" w:rsidR="00C8505B" w:rsidRPr="00B46B2D" w:rsidRDefault="00C8505B" w:rsidP="00C8505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South West Asia &amp; Africa</w:t>
            </w:r>
          </w:p>
          <w:p w14:paraId="39466AD6" w14:textId="77777777" w:rsidR="00C8505B" w:rsidRPr="00B46B2D" w:rsidRDefault="00C8505B" w:rsidP="00C8505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D7D5E38" w14:textId="16DA89DC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57 (28-66)</w:t>
            </w:r>
          </w:p>
        </w:tc>
        <w:tc>
          <w:tcPr>
            <w:tcW w:w="2126" w:type="dxa"/>
          </w:tcPr>
          <w:p w14:paraId="2D947950" w14:textId="70E4039E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112 (54-193)</w:t>
            </w:r>
          </w:p>
        </w:tc>
        <w:tc>
          <w:tcPr>
            <w:tcW w:w="2268" w:type="dxa"/>
          </w:tcPr>
          <w:p w14:paraId="33FECC47" w14:textId="49EB25EC" w:rsidR="00C8505B" w:rsidRPr="00B46B2D" w:rsidRDefault="00C8505B" w:rsidP="00C8505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46B2D">
              <w:rPr>
                <w:rFonts w:ascii="Arial" w:hAnsi="Arial" w:cs="Arial"/>
                <w:color w:val="000000" w:themeColor="text1"/>
                <w:sz w:val="20"/>
                <w:szCs w:val="20"/>
              </w:rPr>
              <w:t>15 (6-18)</w:t>
            </w:r>
          </w:p>
        </w:tc>
      </w:tr>
    </w:tbl>
    <w:p w14:paraId="42451645" w14:textId="77777777" w:rsidR="00C8505B" w:rsidRPr="005F552B" w:rsidRDefault="00C8505B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A5CA4CD" w14:textId="77777777" w:rsidR="00EC547E" w:rsidRPr="00A77409" w:rsidRDefault="00EC547E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719F451" w14:textId="77777777" w:rsidR="00C8505B" w:rsidRDefault="00C8505B">
      <w:pPr>
        <w:rPr>
          <w:rFonts w:ascii="Arial" w:hAnsi="Arial"/>
          <w:b/>
          <w:bCs/>
          <w:sz w:val="20"/>
          <w:szCs w:val="40"/>
          <w:lang w:val="en-US"/>
        </w:rPr>
      </w:pPr>
      <w:r>
        <w:rPr>
          <w:bCs/>
        </w:rPr>
        <w:br w:type="page"/>
      </w:r>
    </w:p>
    <w:p w14:paraId="6CE97ED9" w14:textId="0C92C6D8" w:rsidR="008D1C44" w:rsidRPr="00734213" w:rsidRDefault="008D1C44" w:rsidP="00734213">
      <w:pPr>
        <w:pStyle w:val="Heading1"/>
      </w:pPr>
      <w:bookmarkStart w:id="4" w:name="_Toc181399411"/>
      <w:r w:rsidRPr="008B4A75">
        <w:lastRenderedPageBreak/>
        <w:t xml:space="preserve">Figure </w:t>
      </w:r>
      <w:r>
        <w:t>S2</w:t>
      </w:r>
      <w:r w:rsidRPr="008B4A75">
        <w:t xml:space="preserve">. Alluvial plot depicting reporting practices of </w:t>
      </w:r>
      <w:proofErr w:type="spellStart"/>
      <w:r w:rsidRPr="008B4A75">
        <w:t>centres</w:t>
      </w:r>
      <w:proofErr w:type="spellEnd"/>
      <w:r w:rsidRPr="008B4A75">
        <w:t xml:space="preserve"> across time periods</w:t>
      </w:r>
      <w:bookmarkEnd w:id="4"/>
    </w:p>
    <w:p w14:paraId="54B42CEA" w14:textId="383DA3D4" w:rsidR="008D1C44" w:rsidRDefault="00734213" w:rsidP="008D1C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C2BFC1" wp14:editId="75E2FAD9">
            <wp:extent cx="6088821" cy="4259766"/>
            <wp:effectExtent l="0" t="0" r="0" b="0"/>
            <wp:docPr id="2522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3387" name="Picture 252213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033" cy="42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E02" w14:textId="77777777" w:rsidR="008D1C44" w:rsidRDefault="008D1C44" w:rsidP="008D1C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Pre-COVID-19 period, each centre can either report, or not report data to the ELSO registry. As time passes and we enter the early-COVID-19 period, there were 182 centres which started reporting data to the ELSO registry (transitioning from “No” to “Yes”), and 61 centres which stopped reporting data (transitioning from “Yes” to “No). </w:t>
      </w:r>
    </w:p>
    <w:p w14:paraId="70F0B3C3" w14:textId="77777777" w:rsidR="008D1C44" w:rsidRDefault="008D1C44" w:rsidP="008D1C44">
      <w:pPr>
        <w:rPr>
          <w:rFonts w:ascii="Arial" w:hAnsi="Arial" w:cs="Arial"/>
          <w:sz w:val="20"/>
          <w:szCs w:val="20"/>
        </w:rPr>
      </w:pPr>
    </w:p>
    <w:p w14:paraId="5D2D3327" w14:textId="77777777" w:rsidR="008D1C44" w:rsidRDefault="008D1C44" w:rsidP="008D1C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 early-COVID-19 period to the late-COVID-19 period, an additional 22 centres started reporting data to the registry, and 186 centres stopped reporting data. Of the 182 centres which started reporting data during the early COVID-19 period, only 94 centres continued reporting data during the late-COVID-19 period.</w:t>
      </w:r>
    </w:p>
    <w:p w14:paraId="1B51A68E" w14:textId="77777777" w:rsidR="008D1C44" w:rsidRDefault="008D1C44" w:rsidP="003721DF">
      <w:pPr>
        <w:rPr>
          <w:rFonts w:ascii="Arial" w:hAnsi="Arial" w:cs="Arial"/>
          <w:sz w:val="20"/>
          <w:szCs w:val="20"/>
        </w:rPr>
      </w:pPr>
    </w:p>
    <w:p w14:paraId="60D1D28B" w14:textId="14E09CAE" w:rsidR="003721DF" w:rsidRDefault="003721DF" w:rsidP="003721DF">
      <w:pPr>
        <w:rPr>
          <w:rFonts w:ascii="Arial" w:hAnsi="Arial" w:cs="Arial"/>
          <w:sz w:val="20"/>
          <w:szCs w:val="20"/>
        </w:rPr>
      </w:pPr>
    </w:p>
    <w:p w14:paraId="1E53F582" w14:textId="1382E08C" w:rsidR="003721DF" w:rsidRPr="008D1C44" w:rsidRDefault="003721DF" w:rsidP="008D1C44">
      <w:pPr>
        <w:pStyle w:val="Heading1"/>
        <w:rPr>
          <w:rFonts w:cs="Arial"/>
          <w:szCs w:val="20"/>
        </w:rPr>
      </w:pPr>
      <w:bookmarkStart w:id="5" w:name="_Toc181399412"/>
      <w:r>
        <w:lastRenderedPageBreak/>
        <w:t>Figure S</w:t>
      </w:r>
      <w:r w:rsidR="000241B9">
        <w:t>3</w:t>
      </w:r>
      <w:r>
        <w:t>. Trends in centre volume across time periods stratified by ELSO chapter</w:t>
      </w:r>
      <w:bookmarkEnd w:id="5"/>
    </w:p>
    <w:p w14:paraId="252541F5" w14:textId="0ADD6789" w:rsidR="003721DF" w:rsidRDefault="003721DF" w:rsidP="003721DF">
      <w:pPr>
        <w:rPr>
          <w:lang w:val="en-US"/>
        </w:rPr>
      </w:pPr>
      <w:r w:rsidRPr="00097BEB">
        <w:rPr>
          <w:rFonts w:ascii="Arial" w:hAnsi="Arial" w:cs="Arial"/>
          <w:noProof/>
          <w:color w:val="0070C0"/>
          <w:sz w:val="20"/>
          <w:szCs w:val="20"/>
        </w:rPr>
        <w:drawing>
          <wp:inline distT="0" distB="0" distL="0" distR="0" wp14:anchorId="6AD9AC63" wp14:editId="5B7D7ABE">
            <wp:extent cx="7863840" cy="5010366"/>
            <wp:effectExtent l="0" t="0" r="0" b="6350"/>
            <wp:docPr id="926258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8664" name="Picture 926258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127" cy="50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D056" w14:textId="77777777" w:rsidR="003721DF" w:rsidRPr="003721DF" w:rsidRDefault="003721DF" w:rsidP="003721DF">
      <w:pPr>
        <w:rPr>
          <w:lang w:val="en-US"/>
        </w:rPr>
      </w:pPr>
    </w:p>
    <w:p w14:paraId="4CCA2DB0" w14:textId="77777777" w:rsidR="003721DF" w:rsidRDefault="003721DF">
      <w:pPr>
        <w:rPr>
          <w:rFonts w:ascii="Arial" w:hAnsi="Arial"/>
          <w:b/>
          <w:bCs/>
          <w:sz w:val="20"/>
          <w:szCs w:val="40"/>
          <w:lang w:val="en-US"/>
        </w:rPr>
      </w:pPr>
      <w:r>
        <w:br w:type="page"/>
      </w:r>
    </w:p>
    <w:p w14:paraId="70ED8CFD" w14:textId="55DAFA89" w:rsidR="003721DF" w:rsidRPr="00AC5290" w:rsidRDefault="003721DF" w:rsidP="003721DF">
      <w:pPr>
        <w:pStyle w:val="Heading1"/>
      </w:pPr>
      <w:bookmarkStart w:id="6" w:name="_Toc181399413"/>
      <w:r w:rsidRPr="00AC5290">
        <w:lastRenderedPageBreak/>
        <w:t>Table S</w:t>
      </w:r>
      <w:r>
        <w:t xml:space="preserve">3. Demographics, </w:t>
      </w:r>
      <w:proofErr w:type="spellStart"/>
      <w:r>
        <w:t>centre</w:t>
      </w:r>
      <w:proofErr w:type="spellEnd"/>
      <w:r>
        <w:t>, and pre-ECMO characteristics across the three time periods</w:t>
      </w:r>
      <w:bookmarkEnd w:id="6"/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409"/>
        <w:gridCol w:w="1985"/>
        <w:gridCol w:w="2268"/>
        <w:gridCol w:w="992"/>
        <w:gridCol w:w="992"/>
        <w:gridCol w:w="993"/>
        <w:gridCol w:w="1134"/>
      </w:tblGrid>
      <w:tr w:rsidR="003721DF" w:rsidRPr="00A77409" w14:paraId="5854A4F1" w14:textId="77777777" w:rsidTr="003721DF">
        <w:trPr>
          <w:trHeight w:val="132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6446B4E1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795F608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F0C3FAA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F31D6C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BC88B6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992" w:type="dxa"/>
            <w:vAlign w:val="center"/>
          </w:tcPr>
          <w:p w14:paraId="2BD564BE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34869076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993" w:type="dxa"/>
            <w:vAlign w:val="center"/>
          </w:tcPr>
          <w:p w14:paraId="2960C4A1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00640C17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34" w:type="dxa"/>
            <w:vAlign w:val="center"/>
          </w:tcPr>
          <w:p w14:paraId="1930794B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73A9E8CB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3721DF" w:rsidRPr="00A77409" w14:paraId="08D2447D" w14:textId="77777777" w:rsidTr="003721DF">
        <w:trPr>
          <w:trHeight w:val="212"/>
        </w:trPr>
        <w:tc>
          <w:tcPr>
            <w:tcW w:w="3261" w:type="dxa"/>
            <w:shd w:val="clear" w:color="auto" w:fill="auto"/>
            <w:noWrap/>
            <w:vAlign w:val="center"/>
          </w:tcPr>
          <w:p w14:paraId="4248A4DE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Participants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7E9A107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11453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8D37537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22004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3449992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3231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9C440AB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Align w:val="center"/>
          </w:tcPr>
          <w:p w14:paraId="38F1B6AA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3" w:type="dxa"/>
            <w:vAlign w:val="center"/>
          </w:tcPr>
          <w:p w14:paraId="2BF969BB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1A59F9D6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3721DF" w:rsidRPr="00A77409" w14:paraId="7EEB42EE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059A164D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Age (years)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35645DE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49.5 (35.6-60.5)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FC30A7A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48.1 (37.1-57.6)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8759FF9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48.5 (34.2-60.6)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386C907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14DB0CE1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3289C69E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1134" w:type="dxa"/>
            <w:vAlign w:val="center"/>
          </w:tcPr>
          <w:p w14:paraId="6A955BAF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0.12</w:t>
            </w:r>
          </w:p>
        </w:tc>
      </w:tr>
      <w:tr w:rsidR="003721DF" w:rsidRPr="00A77409" w14:paraId="78AC9021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2273960E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Weight (kg)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75058A6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84.0 (70.0-103.0)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065AFAB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90.0 (75.8-109.0)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8112B62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84.9 (70.0-102.9)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5BA169C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1F022781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30B2489F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0.41</w:t>
            </w:r>
          </w:p>
        </w:tc>
        <w:tc>
          <w:tcPr>
            <w:tcW w:w="1134" w:type="dxa"/>
            <w:vAlign w:val="center"/>
          </w:tcPr>
          <w:p w14:paraId="4298BD8D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02217A09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0F222DE3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Height (cm)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D472685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170.0 (162.6-178.0)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D9D99FB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170.2 (164.0-178.0)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28E79C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170.2 (163.0-178.0)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64A12B4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52BC64B9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2070E52D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0.10</w:t>
            </w:r>
          </w:p>
        </w:tc>
        <w:tc>
          <w:tcPr>
            <w:tcW w:w="1134" w:type="dxa"/>
            <w:vAlign w:val="center"/>
          </w:tcPr>
          <w:p w14:paraId="2614AC44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0.18</w:t>
            </w:r>
          </w:p>
        </w:tc>
      </w:tr>
      <w:tr w:rsidR="003721DF" w:rsidRPr="00A77409" w14:paraId="79189A92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595349C4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BMI (kg/m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B41BB45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28.6 (24.2-34.6)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3BA3975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30.9 (26.3-36.5)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3B0CDB" w14:textId="77777777" w:rsidR="003721DF" w:rsidRPr="00A77409" w:rsidRDefault="003721DF" w:rsidP="003B6D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29.0 (24.5-34.5)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668EEBF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729BF046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635D93EE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1134" w:type="dxa"/>
            <w:vAlign w:val="center"/>
          </w:tcPr>
          <w:p w14:paraId="1800FDE3" w14:textId="77777777" w:rsidR="003721DF" w:rsidRPr="00A77409" w:rsidRDefault="003721DF" w:rsidP="003B6DA8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1D800947" w14:textId="77777777" w:rsidTr="003721DF">
        <w:trPr>
          <w:trHeight w:val="300"/>
        </w:trPr>
        <w:tc>
          <w:tcPr>
            <w:tcW w:w="10915" w:type="dxa"/>
            <w:gridSpan w:val="5"/>
            <w:shd w:val="clear" w:color="auto" w:fill="auto"/>
            <w:noWrap/>
            <w:vAlign w:val="center"/>
          </w:tcPr>
          <w:p w14:paraId="3FEEBA37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Sex (count [%])</w:t>
            </w:r>
          </w:p>
        </w:tc>
        <w:tc>
          <w:tcPr>
            <w:tcW w:w="992" w:type="dxa"/>
            <w:vAlign w:val="center"/>
          </w:tcPr>
          <w:p w14:paraId="446AAE77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3" w:type="dxa"/>
            <w:vAlign w:val="center"/>
          </w:tcPr>
          <w:p w14:paraId="4BB3E6F1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4FAF91FA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3721DF" w:rsidRPr="00A77409" w14:paraId="105155E3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53F09A05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051989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4341 (37.8%)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558C75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7348 (33.4%)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9E3CAD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1232 (38.2%)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</w:tcPr>
          <w:p w14:paraId="52EA68F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Merge w:val="restart"/>
            <w:vAlign w:val="center"/>
          </w:tcPr>
          <w:p w14:paraId="05C975B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Merge w:val="restart"/>
            <w:vAlign w:val="center"/>
          </w:tcPr>
          <w:p w14:paraId="1CB4D65A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1134" w:type="dxa"/>
            <w:vMerge w:val="restart"/>
            <w:vAlign w:val="center"/>
          </w:tcPr>
          <w:p w14:paraId="6090065F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6AA90BF1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1B58A41C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29C73F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7037 (61.4%)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71930C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14647 (66.5%)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C722E85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1998 (61.8%)</w:t>
            </w:r>
          </w:p>
        </w:tc>
        <w:tc>
          <w:tcPr>
            <w:tcW w:w="992" w:type="dxa"/>
            <w:vMerge/>
            <w:shd w:val="clear" w:color="auto" w:fill="auto"/>
            <w:noWrap/>
            <w:vAlign w:val="center"/>
          </w:tcPr>
          <w:p w14:paraId="236F7C6F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Merge/>
            <w:vAlign w:val="center"/>
          </w:tcPr>
          <w:p w14:paraId="0705792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3" w:type="dxa"/>
            <w:vMerge/>
            <w:vAlign w:val="center"/>
          </w:tcPr>
          <w:p w14:paraId="78069EC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Merge/>
            <w:vAlign w:val="center"/>
          </w:tcPr>
          <w:p w14:paraId="3106BDB8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3721DF" w:rsidRPr="00A77409" w14:paraId="0268007E" w14:textId="77777777" w:rsidTr="003721DF">
        <w:trPr>
          <w:trHeight w:val="300"/>
        </w:trPr>
        <w:tc>
          <w:tcPr>
            <w:tcW w:w="14034" w:type="dxa"/>
            <w:gridSpan w:val="8"/>
            <w:shd w:val="clear" w:color="auto" w:fill="auto"/>
            <w:noWrap/>
            <w:vAlign w:val="center"/>
          </w:tcPr>
          <w:p w14:paraId="723BFD0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Centre characteristics</w:t>
            </w:r>
          </w:p>
        </w:tc>
      </w:tr>
      <w:tr w:rsidR="003721DF" w:rsidRPr="00A77409" w14:paraId="37AA4CC5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6AE7A5B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Number of centres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3CDED79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425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E1C132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546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6176AA1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382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B62637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2" w:type="dxa"/>
            <w:vAlign w:val="center"/>
          </w:tcPr>
          <w:p w14:paraId="488E1F20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3" w:type="dxa"/>
            <w:vAlign w:val="center"/>
          </w:tcPr>
          <w:p w14:paraId="0F4CDB21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127F45ED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3721DF" w:rsidRPr="00A77409" w14:paraId="054730F9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1B4FF9D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Centre volume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630392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20.67 (9.67-37.3)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30E09D3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28 (15.67-52)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C9BD060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15 (8-26)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095BBDA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3B549740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373B523C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79CE956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69428A9A" w14:textId="77777777" w:rsidTr="003721DF">
        <w:trPr>
          <w:trHeight w:val="300"/>
        </w:trPr>
        <w:tc>
          <w:tcPr>
            <w:tcW w:w="14034" w:type="dxa"/>
            <w:gridSpan w:val="8"/>
            <w:shd w:val="clear" w:color="auto" w:fill="auto"/>
            <w:noWrap/>
            <w:vAlign w:val="center"/>
          </w:tcPr>
          <w:p w14:paraId="172E60C1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Pre-ECMO/ECMO characteristics</w:t>
            </w:r>
          </w:p>
        </w:tc>
      </w:tr>
      <w:tr w:rsidR="003721DF" w:rsidRPr="00A77409" w14:paraId="7F8D6207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38CC228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Time from admission to intubation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A55035D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 (-18 to 32)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A6EBF5A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 (-48 to 70)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5AFE539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 (-14-56.5)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7F9633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455F4470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72D15D4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64F3FF13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43F8C928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6DF6967C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Time from intubation to ECMO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7F7FB4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26 (7-94)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F6F7961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54 (12-133)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2906CFC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21 (6-90.5)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9B1C50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53DF9FD0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4502D058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17FF9B6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56972ADE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3A49D31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Duration of ECMO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D3488E7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7.7 (3.9-14.2)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74D47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13.6 (6.0-27.7)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406DAAD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7.0 (3.6-13.9)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60000B5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6927DBC5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3927015D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0.0066</w:t>
            </w:r>
          </w:p>
        </w:tc>
        <w:tc>
          <w:tcPr>
            <w:tcW w:w="1134" w:type="dxa"/>
            <w:vAlign w:val="center"/>
          </w:tcPr>
          <w:p w14:paraId="286C1CBC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7EE42B8E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005466EF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Duration of survival time post-ECMO until final disposition or death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0FDA1F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8.8 (0.04-22.1)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D3B2A9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6.7 (0-21.0)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1DEC5D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8.1 (0.04-21.2)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A59A0A7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7B74F9AF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519BB8AB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1134" w:type="dxa"/>
            <w:vAlign w:val="center"/>
          </w:tcPr>
          <w:p w14:paraId="5E0848F8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3721DF" w:rsidRPr="00A77409" w14:paraId="4988364A" w14:textId="77777777" w:rsidTr="003721DF">
        <w:trPr>
          <w:trHeight w:val="300"/>
        </w:trPr>
        <w:tc>
          <w:tcPr>
            <w:tcW w:w="3261" w:type="dxa"/>
            <w:shd w:val="clear" w:color="auto" w:fill="auto"/>
            <w:noWrap/>
            <w:vAlign w:val="center"/>
          </w:tcPr>
          <w:p w14:paraId="1267E225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COVID-19 addendum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65B6D26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C771E1F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13005 (59.1%)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0CB8ADE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180 (5.6%)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B9B2704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2" w:type="dxa"/>
            <w:vAlign w:val="center"/>
          </w:tcPr>
          <w:p w14:paraId="5A34790D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993" w:type="dxa"/>
            <w:vAlign w:val="center"/>
          </w:tcPr>
          <w:p w14:paraId="2A14D532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7C43A119" w14:textId="77777777" w:rsidR="003721DF" w:rsidRPr="00A77409" w:rsidRDefault="003721DF" w:rsidP="003B6DA8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</w:tbl>
    <w:p w14:paraId="7EF664D9" w14:textId="77777777" w:rsidR="003721DF" w:rsidRDefault="003721DF" w:rsidP="003721DF">
      <w:pPr>
        <w:pStyle w:val="Heading1"/>
      </w:pPr>
    </w:p>
    <w:p w14:paraId="6E39900D" w14:textId="77777777" w:rsidR="003721DF" w:rsidRDefault="003721DF">
      <w:pPr>
        <w:rPr>
          <w:rFonts w:ascii="Arial" w:hAnsi="Arial"/>
          <w:b/>
          <w:bCs/>
          <w:sz w:val="20"/>
          <w:szCs w:val="40"/>
          <w:lang w:val="en-US"/>
        </w:rPr>
      </w:pPr>
      <w:r>
        <w:rPr>
          <w:bCs/>
        </w:rPr>
        <w:br w:type="page"/>
      </w:r>
    </w:p>
    <w:p w14:paraId="4F2B41A9" w14:textId="4D87CFBE" w:rsidR="00362B60" w:rsidRPr="00AC5290" w:rsidRDefault="00AC5290" w:rsidP="003721DF">
      <w:pPr>
        <w:pStyle w:val="Heading1"/>
      </w:pPr>
      <w:bookmarkStart w:id="7" w:name="_Toc181399414"/>
      <w:r>
        <w:lastRenderedPageBreak/>
        <w:t>Table S</w:t>
      </w:r>
      <w:r w:rsidR="00C8505B">
        <w:t>4</w:t>
      </w:r>
      <w:r>
        <w:t xml:space="preserve">. </w:t>
      </w:r>
      <w:r w:rsidR="00362B60" w:rsidRPr="00AC5290">
        <w:t xml:space="preserve">Arterial blood gas </w:t>
      </w:r>
      <w:r>
        <w:t>before and after ECMO initiation</w:t>
      </w:r>
      <w:bookmarkEnd w:id="7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238DBBFC" w14:textId="77777777" w:rsidTr="00D415D9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4982CD88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A13ABC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FB1D52D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44BD7B3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6C9E91EA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1A50BE70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26A68EE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5EC500F1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6C21343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1E69D8E5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5DB27DB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0F2CA5C8" w14:textId="77777777" w:rsidTr="00D415D9">
        <w:trPr>
          <w:trHeight w:val="212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0F71789C" w14:textId="71415823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Pre-ECMO arterial blood gas</w:t>
            </w:r>
            <w:r w:rsidR="00AC5290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A77409" w:rsidRPr="00A77409" w14:paraId="30985F06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EE0AA78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F89C01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7.24 (7.1</w:t>
            </w:r>
            <w:r w:rsidR="00D415D9"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-7.34)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B85A71C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7.28 (7.19-7.36)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168A15B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7.27 (7.17-7.35)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6030523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4CE8EAE7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E887BEF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75073565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42B1F78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082424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PaCO2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03529C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58.0 (47.0-75.0)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290B9E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60.0 (48.8-74.8)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53850A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56.0 (45.4-70.0)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C7BAD7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FBA3EC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0707AAC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C2F03CF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0A33611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40722CB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72A628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67.0 (54.0-85.5)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0131DD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67.0 (56.0-84.0)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6D063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70.0 (58.0-98.0)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9954E6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2FED3250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1145" w:type="dxa"/>
            <w:vAlign w:val="center"/>
          </w:tcPr>
          <w:p w14:paraId="39AFF4B0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E4AE4A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72C4733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701FA70F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PaO2/FiO2 ratio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58DB2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70.5 (55.0-100.7)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0DBD51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71.0 (57.0-94.0)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C8B75A0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75.0 (59.0-117.0)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0D2C6EE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CA6ECBA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1145" w:type="dxa"/>
            <w:vAlign w:val="center"/>
          </w:tcPr>
          <w:p w14:paraId="2AD49BD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96BAC7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4F4FCCB" w14:textId="77777777" w:rsidTr="00D415D9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758546AB" w14:textId="76425E73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Post-ECMO arterial blood gas</w:t>
            </w:r>
            <w:r w:rsidR="00AC5290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**</w:t>
            </w:r>
          </w:p>
        </w:tc>
      </w:tr>
      <w:tr w:rsidR="00A77409" w:rsidRPr="00A77409" w14:paraId="128C99C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592B62A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8632880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(7.35-7.44)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F1575AA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(7.36-7.44)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54FD952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(7.36-7.44)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350DB1B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</w:t>
            </w:r>
            <w:r w:rsidR="00D415D9"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4" w:type="dxa"/>
            <w:vAlign w:val="center"/>
          </w:tcPr>
          <w:p w14:paraId="2FF27D1E" w14:textId="77777777" w:rsidR="0001078F" w:rsidRPr="00A77409" w:rsidRDefault="0001078F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  <w:r w:rsidR="00D415D9"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145" w:type="dxa"/>
            <w:vAlign w:val="center"/>
          </w:tcPr>
          <w:p w14:paraId="04B6A75E" w14:textId="77777777" w:rsidR="0001078F" w:rsidRPr="00A77409" w:rsidRDefault="0001078F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</w:t>
            </w:r>
            <w:r w:rsidR="00D415D9"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145" w:type="dxa"/>
            <w:vAlign w:val="center"/>
          </w:tcPr>
          <w:p w14:paraId="6E3F6EDA" w14:textId="77777777" w:rsidR="0001078F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0.020</w:t>
            </w:r>
          </w:p>
        </w:tc>
      </w:tr>
      <w:tr w:rsidR="00A77409" w:rsidRPr="00A77409" w14:paraId="3D4920C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6F364FE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PaCO2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7642F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41.2 (37.0-46.7)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DF487C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44.0 (39.0-50.7)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0A9D8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42.0 (37.0-47.0)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174A775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1ED15E5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11DBEC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D2C731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0.037</w:t>
            </w:r>
          </w:p>
        </w:tc>
      </w:tr>
      <w:tr w:rsidR="00A77409" w:rsidRPr="00A77409" w14:paraId="3B8F3A9E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97BA586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789CBB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83.0 (68.0-111.2)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C59E52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77.0 (65.0-98.2)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FB80A2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88.1 (71.0-122.0)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26ACBA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61433D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0168FD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C98C37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606145C5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0C89472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PaO2/FiO2 ratio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F3931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172.6 (112.8-255.0)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05F6DC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156.9 (102.5-222.5)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02E050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185.0 (122.4-268.0)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164590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11B8710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BD513A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860B08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</w:tbl>
    <w:p w14:paraId="4E427360" w14:textId="15E36CAB" w:rsidR="005D4919" w:rsidRDefault="005D4919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Abbreviations: PaO2: arterial partial pressure of oxygen, PaCO2: arterial partial pressure of carbon dioxide, FiO2: fraction of inspired oxygen</w:t>
      </w:r>
    </w:p>
    <w:p w14:paraId="6A30116F" w14:textId="5C3EFF99" w:rsidR="00AC5290" w:rsidRDefault="00AC5290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*Defined as the arterial blood gas closest to and not more than 6 hours before ECMO initiation</w:t>
      </w:r>
    </w:p>
    <w:p w14:paraId="1E05E419" w14:textId="6F2E06C7" w:rsidR="00AC5290" w:rsidRDefault="00AC5290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**Defined as the arterial blood gas drawn between 18 to 30 hours after ECMO initiation, closest to 24 hours after initiation of ECMO</w:t>
      </w:r>
    </w:p>
    <w:p w14:paraId="0EBE73C8" w14:textId="77777777" w:rsidR="0001078F" w:rsidRPr="00A77409" w:rsidRDefault="0001078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B6C71A2" w14:textId="77777777" w:rsidR="00362B60" w:rsidRPr="00A77409" w:rsidRDefault="00362B6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50339C" w14:textId="77777777" w:rsidR="000E3324" w:rsidRPr="00A77409" w:rsidRDefault="000E3324">
      <w:pPr>
        <w:rPr>
          <w:rFonts w:ascii="Arial" w:hAnsi="Arial" w:cs="Arial"/>
          <w:color w:val="000000" w:themeColor="text1"/>
          <w:sz w:val="20"/>
          <w:szCs w:val="20"/>
        </w:rPr>
      </w:pPr>
      <w:r w:rsidRPr="00A77409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01D8C6C3" w14:textId="40DEAFAB" w:rsidR="00890CCF" w:rsidRPr="00A77409" w:rsidRDefault="00357CC3" w:rsidP="003721DF">
      <w:pPr>
        <w:pStyle w:val="Heading1"/>
      </w:pPr>
      <w:bookmarkStart w:id="8" w:name="_Toc181399415"/>
      <w:r>
        <w:lastRenderedPageBreak/>
        <w:t>Table S</w:t>
      </w:r>
      <w:r w:rsidR="00C8505B">
        <w:t>5</w:t>
      </w:r>
      <w:r>
        <w:t>. Ventilatory parameters before and after ECMO initiation, across time periods</w:t>
      </w:r>
      <w:bookmarkEnd w:id="8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04C2512B" w14:textId="77777777" w:rsidTr="00D415D9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744DC735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6E02813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06E605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5735BC6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1594972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0078171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1A1B090E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1A3711F1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DB7FDD7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2691F48A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85F22AE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6BA7C651" w14:textId="77777777" w:rsidTr="00D415D9">
        <w:trPr>
          <w:trHeight w:val="212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2DB09DF0" w14:textId="42E3A460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Pre-ECMO </w:t>
            </w:r>
            <w:r w:rsidR="00357CC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ventilatory parameters</w:t>
            </w:r>
          </w:p>
        </w:tc>
      </w:tr>
      <w:tr w:rsidR="00A77409" w:rsidRPr="00A77409" w14:paraId="4F558DFC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E70123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Rate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781E3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(18.0-28.0)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72B704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26.0 (20.0-30.0)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7F474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(18.0-28.0)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5DD854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E4F71A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8C8D51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145" w:type="dxa"/>
            <w:vAlign w:val="center"/>
          </w:tcPr>
          <w:p w14:paraId="5BA4762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3CE44D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2034D1E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PIP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564ED6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(29.0-38.0)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2BF4262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(29.0-38.0)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068F75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(28.0-37.8)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5E6B061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0.0055</w:t>
            </w:r>
          </w:p>
        </w:tc>
        <w:tc>
          <w:tcPr>
            <w:tcW w:w="1144" w:type="dxa"/>
            <w:vAlign w:val="center"/>
          </w:tcPr>
          <w:p w14:paraId="5E09744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145" w:type="dxa"/>
            <w:vAlign w:val="center"/>
          </w:tcPr>
          <w:p w14:paraId="2BBE5EA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145" w:type="dxa"/>
            <w:vAlign w:val="center"/>
          </w:tcPr>
          <w:p w14:paraId="4141C92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0.0036</w:t>
            </w:r>
          </w:p>
        </w:tc>
      </w:tr>
      <w:tr w:rsidR="00A77409" w:rsidRPr="00A77409" w14:paraId="29E45C48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B32DE7D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PEEP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98E561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488E9B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(10.0-15.0)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37A46D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(8.0-14.0)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4FCF65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0782EC41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1145" w:type="dxa"/>
            <w:vAlign w:val="center"/>
          </w:tcPr>
          <w:p w14:paraId="44AE3721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A85CBB2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726AD31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8B5103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Inflation pressure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53C1AE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20.0 (16.0-26.0)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DE19CC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20.0 (16.0-25.0)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347B43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21.0 (16.0-26.0)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0D87CFD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  <w:tc>
          <w:tcPr>
            <w:tcW w:w="1144" w:type="dxa"/>
            <w:vAlign w:val="center"/>
          </w:tcPr>
          <w:p w14:paraId="4C3FD0CC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0.40</w:t>
            </w:r>
          </w:p>
        </w:tc>
        <w:tc>
          <w:tcPr>
            <w:tcW w:w="1145" w:type="dxa"/>
            <w:vAlign w:val="center"/>
          </w:tcPr>
          <w:p w14:paraId="473A089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  <w:tc>
          <w:tcPr>
            <w:tcW w:w="1145" w:type="dxa"/>
            <w:vAlign w:val="center"/>
          </w:tcPr>
          <w:p w14:paraId="1869351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</w:tr>
      <w:tr w:rsidR="00A77409" w:rsidRPr="00A77409" w14:paraId="3B17F272" w14:textId="77777777" w:rsidTr="00D415D9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41CEF19D" w14:textId="42372C3D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Post-ECMO </w:t>
            </w:r>
            <w:r w:rsidR="00357CC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ventilatory parameters</w:t>
            </w:r>
          </w:p>
        </w:tc>
      </w:tr>
      <w:tr w:rsidR="00A77409" w:rsidRPr="00A77409" w14:paraId="4A0A340D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20BCD42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Rate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723ED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84AFD5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E5F4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73D19EA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0.30</w:t>
            </w:r>
          </w:p>
        </w:tc>
        <w:tc>
          <w:tcPr>
            <w:tcW w:w="1144" w:type="dxa"/>
            <w:vAlign w:val="center"/>
          </w:tcPr>
          <w:p w14:paraId="4BC10C8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1145" w:type="dxa"/>
            <w:vAlign w:val="center"/>
          </w:tcPr>
          <w:p w14:paraId="480B051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1145" w:type="dxa"/>
            <w:vAlign w:val="center"/>
          </w:tcPr>
          <w:p w14:paraId="69CF1FF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0.82</w:t>
            </w:r>
          </w:p>
        </w:tc>
      </w:tr>
      <w:tr w:rsidR="00A77409" w:rsidRPr="00A77409" w14:paraId="196897A6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47BB11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PIP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4575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(20.0-28.0)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BA9632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(21.0-28.0)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C4E5FD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(20.0-27.0)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15BF47D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633FEA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1145" w:type="dxa"/>
            <w:vAlign w:val="center"/>
          </w:tcPr>
          <w:p w14:paraId="73BD876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8FFD3A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329BADD8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5C8E822F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PEEP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2253ED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(8.0-12.0)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9E8519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(10.0-12.0)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08ECA0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(8.0-10.0)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0E91C8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9F914E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3A4C1C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2AAEEE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01488DDD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9690B7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Inflation pressure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E99F7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14.0 (10.0-18.0)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697336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13.0 (10.0-17.0)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19CDA6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14.0 (10.0-17.0)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9737A4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0.27</w:t>
            </w:r>
          </w:p>
        </w:tc>
        <w:tc>
          <w:tcPr>
            <w:tcW w:w="1144" w:type="dxa"/>
            <w:vAlign w:val="center"/>
          </w:tcPr>
          <w:p w14:paraId="3E27065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145" w:type="dxa"/>
            <w:vAlign w:val="center"/>
          </w:tcPr>
          <w:p w14:paraId="7A2AAD1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0.66</w:t>
            </w:r>
          </w:p>
        </w:tc>
        <w:tc>
          <w:tcPr>
            <w:tcW w:w="1145" w:type="dxa"/>
            <w:vAlign w:val="center"/>
          </w:tcPr>
          <w:p w14:paraId="5240214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0.66</w:t>
            </w:r>
          </w:p>
        </w:tc>
      </w:tr>
    </w:tbl>
    <w:p w14:paraId="1221B727" w14:textId="7CB794F8" w:rsidR="005D4919" w:rsidRDefault="005D4919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Abbreviations: PIP: peak inspiratory pressure, PEEP: positive end-expiratory pressure</w:t>
      </w:r>
    </w:p>
    <w:p w14:paraId="1D4F940D" w14:textId="5FD3D15F" w:rsidR="00357CC3" w:rsidRDefault="00357CC3" w:rsidP="00357CC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*Defined as the ventilatory parameters/settings closest to and not more than 6 hours before ECMO initiation</w:t>
      </w:r>
    </w:p>
    <w:p w14:paraId="10EF6F86" w14:textId="450953A5" w:rsidR="00357CC3" w:rsidRDefault="00357CC3" w:rsidP="00357CC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**Defined as the ventilatory parameters/settings between 18 to 30 hours after ECMO initiation, closest to 24 hours after initiation of ECMO</w:t>
      </w:r>
    </w:p>
    <w:p w14:paraId="57770331" w14:textId="77777777" w:rsidR="000E3324" w:rsidRPr="00A77409" w:rsidRDefault="000E332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BC25994" w14:textId="77777777" w:rsidR="000E3324" w:rsidRPr="00A77409" w:rsidRDefault="000E332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9F33B7D" w14:textId="77777777" w:rsidR="00547672" w:rsidRPr="00A77409" w:rsidRDefault="0054767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7409"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433DF125" w14:textId="16E996FF" w:rsidR="000E3324" w:rsidRPr="00A77409" w:rsidRDefault="00E24473" w:rsidP="003721DF">
      <w:pPr>
        <w:pStyle w:val="Heading1"/>
      </w:pPr>
      <w:bookmarkStart w:id="9" w:name="_Toc181399416"/>
      <w:r>
        <w:lastRenderedPageBreak/>
        <w:t>Table S</w:t>
      </w:r>
      <w:r w:rsidR="00C8505B">
        <w:t>6</w:t>
      </w:r>
      <w:r>
        <w:t>. Pre-ECMO adjunctive therapies</w:t>
      </w:r>
      <w:bookmarkEnd w:id="9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0C2F2F43" w14:textId="77777777" w:rsidTr="00CE1464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3A58DDE7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E45A900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1716D25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774FFEF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2E8B1EFC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2A307500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20055778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07F9619A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0521FD9B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040AE0AE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305A1D9F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0C31FEA7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934D04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Nitric oxide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A27948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2433 (25.6%)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6B78E8BC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6180 (31.0%)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85664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780 (27.6%)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0B0FCD1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30DFCE0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4EF6578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1145" w:type="dxa"/>
            <w:vAlign w:val="center"/>
          </w:tcPr>
          <w:p w14:paraId="3F14634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0.0004</w:t>
            </w:r>
          </w:p>
        </w:tc>
      </w:tr>
      <w:tr w:rsidR="00A77409" w:rsidRPr="00A77409" w14:paraId="0C947BA4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75030E4D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Steroids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48A4A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1932 (20.4%)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2AE2285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7584 (38.0%)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1323A8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793 (28.0%)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EFBBA89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A2FF8C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7D67D06B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2B388D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46FC81AA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7580185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Bicarbonate or THAM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63F14F9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1468 (15.5%)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D145D22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1869 (9.4%)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45E8E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441 (15.6%)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20489A9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4321E48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0648B124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1145" w:type="dxa"/>
            <w:vAlign w:val="center"/>
          </w:tcPr>
          <w:p w14:paraId="2DC057FE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5E988535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0074128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CVVH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5B72A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1159 (12.2%)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C4B13D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1474 (7.4%)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744F36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291 (10.3%)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B3A773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CFCF0D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EB06337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0.0057</w:t>
            </w:r>
          </w:p>
        </w:tc>
        <w:tc>
          <w:tcPr>
            <w:tcW w:w="1145" w:type="dxa"/>
            <w:vAlign w:val="center"/>
          </w:tcPr>
          <w:p w14:paraId="0FDAF93E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1D799334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C3B1940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Neuromuscular blockade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2445B4F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5554 (58.5%)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36F9BE0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13670 (68.5%)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BBBA05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1524 (53.9%)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803EE45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9D8A8C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7CFC0B8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0.038</w:t>
            </w:r>
          </w:p>
        </w:tc>
        <w:tc>
          <w:tcPr>
            <w:tcW w:w="1145" w:type="dxa"/>
            <w:vAlign w:val="center"/>
          </w:tcPr>
          <w:p w14:paraId="2821384C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0.028</w:t>
            </w:r>
          </w:p>
        </w:tc>
      </w:tr>
      <w:tr w:rsidR="00A77409" w:rsidRPr="00A77409" w14:paraId="2CA79F91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5C10F254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Vasodilators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2D627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162 (1.7%)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52698C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140 (0.7%)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BF598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32 (1.1%)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BD9ED47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32708BD8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2B1A92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4B2DBD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77AA014E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5A151D2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Prone positioning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8CCBE7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1355 (14.3%)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1B347D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8551 (42.8%)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5D741C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489 (17.3%)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E02ED6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015B0D5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D1AC86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786C11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</w:tbl>
    <w:p w14:paraId="23A7CA3B" w14:textId="5F70C545" w:rsidR="00547672" w:rsidRDefault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Abbreviations: THAM: tris-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hydroxymethylaminomethane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CVVH: continuous venovenous hemofiltration</w:t>
      </w:r>
    </w:p>
    <w:p w14:paraId="27279A81" w14:textId="77777777" w:rsidR="005D4919" w:rsidRPr="00A77409" w:rsidRDefault="005D491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5E7D180" w14:textId="68623BD5" w:rsidR="00FC419B" w:rsidRPr="00F87AB8" w:rsidRDefault="00E24473" w:rsidP="003721DF">
      <w:pPr>
        <w:pStyle w:val="Heading1"/>
      </w:pPr>
      <w:bookmarkStart w:id="10" w:name="_Toc181399417"/>
      <w:r>
        <w:t>Table S</w:t>
      </w:r>
      <w:r w:rsidR="00C8505B">
        <w:t>7</w:t>
      </w:r>
      <w:r w:rsidR="00F87AB8">
        <w:t>. Unadjusted survival estimates at 90 days after ECMO initiation across time periods, and an</w:t>
      </w:r>
      <w:r w:rsidR="00C569B7">
        <w:t>n</w:t>
      </w:r>
      <w:r w:rsidR="00F87AB8">
        <w:t>ually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</w:tblGrid>
      <w:tr w:rsidR="00A77409" w:rsidRPr="00A77409" w14:paraId="55C36569" w14:textId="77777777" w:rsidTr="00F744C0">
        <w:tc>
          <w:tcPr>
            <w:tcW w:w="2122" w:type="dxa"/>
          </w:tcPr>
          <w:p w14:paraId="752048D3" w14:textId="77777777" w:rsidR="003D6521" w:rsidRPr="001F3CBB" w:rsidRDefault="003D6521" w:rsidP="00F744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F3CB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Covariate</w:t>
            </w:r>
          </w:p>
        </w:tc>
        <w:tc>
          <w:tcPr>
            <w:tcW w:w="1842" w:type="dxa"/>
          </w:tcPr>
          <w:p w14:paraId="7296AE6D" w14:textId="1F13AE08" w:rsidR="003D6521" w:rsidRPr="001F3CBB" w:rsidRDefault="003D6521" w:rsidP="00F744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F3CB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Survival</w:t>
            </w:r>
          </w:p>
        </w:tc>
        <w:tc>
          <w:tcPr>
            <w:tcW w:w="2127" w:type="dxa"/>
          </w:tcPr>
          <w:p w14:paraId="19AE7B78" w14:textId="77777777" w:rsidR="003D6521" w:rsidRPr="001F3CBB" w:rsidRDefault="003D6521" w:rsidP="00F744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F3CB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95%-CI</w:t>
            </w:r>
          </w:p>
        </w:tc>
      </w:tr>
      <w:tr w:rsidR="00A77409" w:rsidRPr="00A77409" w14:paraId="4888D5D3" w14:textId="77777777" w:rsidTr="003D6521">
        <w:tc>
          <w:tcPr>
            <w:tcW w:w="2122" w:type="dxa"/>
          </w:tcPr>
          <w:p w14:paraId="44165D89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Pre-COVID-19</w:t>
            </w:r>
          </w:p>
        </w:tc>
        <w:tc>
          <w:tcPr>
            <w:tcW w:w="1842" w:type="dxa"/>
          </w:tcPr>
          <w:p w14:paraId="0431F67D" w14:textId="455F3D06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64.9%</w:t>
            </w:r>
          </w:p>
        </w:tc>
        <w:tc>
          <w:tcPr>
            <w:tcW w:w="2127" w:type="dxa"/>
          </w:tcPr>
          <w:p w14:paraId="290F3C4B" w14:textId="4624EA4A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64.0%-65.8%</w:t>
            </w:r>
          </w:p>
        </w:tc>
      </w:tr>
      <w:tr w:rsidR="00A77409" w:rsidRPr="00A77409" w14:paraId="53FEA56C" w14:textId="77777777" w:rsidTr="00F744C0">
        <w:tc>
          <w:tcPr>
            <w:tcW w:w="2122" w:type="dxa"/>
          </w:tcPr>
          <w:p w14:paraId="447FCB8E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842" w:type="dxa"/>
          </w:tcPr>
          <w:p w14:paraId="75B0E07F" w14:textId="55A717DB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58.4%</w:t>
            </w:r>
          </w:p>
        </w:tc>
        <w:tc>
          <w:tcPr>
            <w:tcW w:w="2127" w:type="dxa"/>
          </w:tcPr>
          <w:p w14:paraId="1DA16725" w14:textId="5C9BAFE5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57.7%-59.1%</w:t>
            </w:r>
          </w:p>
        </w:tc>
      </w:tr>
      <w:tr w:rsidR="00A77409" w:rsidRPr="00A77409" w14:paraId="56CAFA48" w14:textId="77777777" w:rsidTr="00F744C0">
        <w:tc>
          <w:tcPr>
            <w:tcW w:w="2122" w:type="dxa"/>
          </w:tcPr>
          <w:p w14:paraId="6B1CF5CD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Post-COVID-19</w:t>
            </w:r>
          </w:p>
        </w:tc>
        <w:tc>
          <w:tcPr>
            <w:tcW w:w="1842" w:type="dxa"/>
          </w:tcPr>
          <w:p w14:paraId="510EA3F2" w14:textId="1E37E5EB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65.1%</w:t>
            </w:r>
          </w:p>
        </w:tc>
        <w:tc>
          <w:tcPr>
            <w:tcW w:w="2127" w:type="dxa"/>
          </w:tcPr>
          <w:p w14:paraId="39B4591A" w14:textId="4CD78757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63.5%-66.7%</w:t>
            </w:r>
          </w:p>
        </w:tc>
      </w:tr>
      <w:tr w:rsidR="00A77409" w:rsidRPr="00A77409" w14:paraId="7F46D720" w14:textId="77777777" w:rsidTr="00F744C0">
        <w:tc>
          <w:tcPr>
            <w:tcW w:w="6091" w:type="dxa"/>
            <w:gridSpan w:val="3"/>
          </w:tcPr>
          <w:p w14:paraId="43F09311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By Year</w:t>
            </w:r>
          </w:p>
        </w:tc>
      </w:tr>
      <w:tr w:rsidR="00A77409" w:rsidRPr="00A77409" w14:paraId="0A4787ED" w14:textId="77777777" w:rsidTr="003D6521">
        <w:tc>
          <w:tcPr>
            <w:tcW w:w="2122" w:type="dxa"/>
          </w:tcPr>
          <w:p w14:paraId="5BB7F2AA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1842" w:type="dxa"/>
          </w:tcPr>
          <w:p w14:paraId="1C7759E9" w14:textId="30B4BFA6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63.0%</w:t>
            </w:r>
          </w:p>
        </w:tc>
        <w:tc>
          <w:tcPr>
            <w:tcW w:w="2127" w:type="dxa"/>
          </w:tcPr>
          <w:p w14:paraId="3AE55054" w14:textId="0DC5DBD5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61.3%-64.7%</w:t>
            </w:r>
          </w:p>
        </w:tc>
      </w:tr>
      <w:tr w:rsidR="00A77409" w:rsidRPr="00A77409" w14:paraId="27ADAE43" w14:textId="77777777" w:rsidTr="00F744C0">
        <w:tc>
          <w:tcPr>
            <w:tcW w:w="2122" w:type="dxa"/>
          </w:tcPr>
          <w:p w14:paraId="753647AA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1842" w:type="dxa"/>
          </w:tcPr>
          <w:p w14:paraId="3E684A48" w14:textId="6E5E357D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64.2%</w:t>
            </w:r>
          </w:p>
        </w:tc>
        <w:tc>
          <w:tcPr>
            <w:tcW w:w="2127" w:type="dxa"/>
          </w:tcPr>
          <w:p w14:paraId="41F679DB" w14:textId="1FCFAEB3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62.7%-65.7%</w:t>
            </w:r>
          </w:p>
        </w:tc>
      </w:tr>
      <w:tr w:rsidR="00A77409" w:rsidRPr="00A77409" w14:paraId="7A98EF3B" w14:textId="77777777" w:rsidTr="00F744C0">
        <w:tc>
          <w:tcPr>
            <w:tcW w:w="2122" w:type="dxa"/>
          </w:tcPr>
          <w:p w14:paraId="4D0302CD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842" w:type="dxa"/>
          </w:tcPr>
          <w:p w14:paraId="078F50BC" w14:textId="5C065756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66.7%</w:t>
            </w:r>
          </w:p>
        </w:tc>
        <w:tc>
          <w:tcPr>
            <w:tcW w:w="2127" w:type="dxa"/>
          </w:tcPr>
          <w:p w14:paraId="2019031B" w14:textId="02448C4D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65.3%-68.1%</w:t>
            </w:r>
          </w:p>
        </w:tc>
      </w:tr>
      <w:tr w:rsidR="00A77409" w:rsidRPr="00A77409" w14:paraId="08712F11" w14:textId="77777777" w:rsidTr="00F744C0">
        <w:tc>
          <w:tcPr>
            <w:tcW w:w="2122" w:type="dxa"/>
          </w:tcPr>
          <w:p w14:paraId="581EB520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1842" w:type="dxa"/>
          </w:tcPr>
          <w:p w14:paraId="2D176EDC" w14:textId="5CCCEF4E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57.1%</w:t>
            </w:r>
          </w:p>
        </w:tc>
        <w:tc>
          <w:tcPr>
            <w:tcW w:w="2127" w:type="dxa"/>
          </w:tcPr>
          <w:p w14:paraId="7704A66A" w14:textId="1091CF3B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56.0%-58.2%</w:t>
            </w:r>
          </w:p>
        </w:tc>
      </w:tr>
      <w:tr w:rsidR="00A77409" w:rsidRPr="00A77409" w14:paraId="02901B73" w14:textId="77777777" w:rsidTr="00F744C0">
        <w:tc>
          <w:tcPr>
            <w:tcW w:w="2122" w:type="dxa"/>
          </w:tcPr>
          <w:p w14:paraId="79274AB5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842" w:type="dxa"/>
          </w:tcPr>
          <w:p w14:paraId="7369F00C" w14:textId="626D673E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57.1%</w:t>
            </w:r>
          </w:p>
        </w:tc>
        <w:tc>
          <w:tcPr>
            <w:tcW w:w="2127" w:type="dxa"/>
          </w:tcPr>
          <w:p w14:paraId="422AE496" w14:textId="55F90165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56.1%-58.1%</w:t>
            </w:r>
          </w:p>
        </w:tc>
      </w:tr>
      <w:tr w:rsidR="00A77409" w:rsidRPr="00A77409" w14:paraId="74C133FE" w14:textId="77777777" w:rsidTr="00F744C0">
        <w:tc>
          <w:tcPr>
            <w:tcW w:w="2122" w:type="dxa"/>
          </w:tcPr>
          <w:p w14:paraId="6D79ACCB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1842" w:type="dxa"/>
          </w:tcPr>
          <w:p w14:paraId="6FE6D36B" w14:textId="0C381ADD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63.4%</w:t>
            </w:r>
          </w:p>
        </w:tc>
        <w:tc>
          <w:tcPr>
            <w:tcW w:w="2127" w:type="dxa"/>
          </w:tcPr>
          <w:p w14:paraId="0549A164" w14:textId="11F20570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61.9%-64.9%</w:t>
            </w:r>
          </w:p>
        </w:tc>
      </w:tr>
      <w:tr w:rsidR="003D6521" w:rsidRPr="00A77409" w14:paraId="7821884C" w14:textId="77777777" w:rsidTr="00F744C0">
        <w:tc>
          <w:tcPr>
            <w:tcW w:w="2122" w:type="dxa"/>
          </w:tcPr>
          <w:p w14:paraId="32F4A018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1842" w:type="dxa"/>
          </w:tcPr>
          <w:p w14:paraId="6DAE861E" w14:textId="533E0EE8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65.1%</w:t>
            </w:r>
          </w:p>
        </w:tc>
        <w:tc>
          <w:tcPr>
            <w:tcW w:w="2127" w:type="dxa"/>
          </w:tcPr>
          <w:p w14:paraId="5B5C1F16" w14:textId="20FCED50" w:rsidR="003D6521" w:rsidRPr="00A77409" w:rsidRDefault="000B454C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1F3CBB">
              <w:rPr>
                <w:rFonts w:ascii="Arial" w:hAnsi="Arial" w:cs="Arial"/>
                <w:color w:val="000000" w:themeColor="text1"/>
                <w:sz w:val="20"/>
                <w:szCs w:val="20"/>
              </w:rPr>
              <w:t>3.5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%-66.7%</w:t>
            </w:r>
          </w:p>
        </w:tc>
      </w:tr>
    </w:tbl>
    <w:p w14:paraId="395D036D" w14:textId="77777777" w:rsidR="00FC419B" w:rsidRPr="00A77409" w:rsidRDefault="00FC419B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9870128" w14:textId="77777777" w:rsidR="00E24473" w:rsidRDefault="00E24473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6CF4B1FF" w14:textId="21991F3F" w:rsidR="00E24473" w:rsidRPr="00A77409" w:rsidRDefault="00E24473" w:rsidP="003721DF">
      <w:pPr>
        <w:pStyle w:val="Heading1"/>
      </w:pPr>
      <w:bookmarkStart w:id="11" w:name="_Toc181399418"/>
      <w:r>
        <w:lastRenderedPageBreak/>
        <w:t>Table S</w:t>
      </w:r>
      <w:r w:rsidR="00C8505B">
        <w:t>8</w:t>
      </w:r>
      <w:r>
        <w:t>. Complications while receiving ECMO</w:t>
      </w:r>
      <w:bookmarkEnd w:id="11"/>
    </w:p>
    <w:tbl>
      <w:tblPr>
        <w:tblW w:w="126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417"/>
        <w:gridCol w:w="851"/>
        <w:gridCol w:w="1417"/>
        <w:gridCol w:w="717"/>
        <w:gridCol w:w="1409"/>
        <w:gridCol w:w="717"/>
        <w:gridCol w:w="1125"/>
        <w:gridCol w:w="1134"/>
        <w:gridCol w:w="1134"/>
        <w:gridCol w:w="1134"/>
      </w:tblGrid>
      <w:tr w:rsidR="00E24473" w:rsidRPr="00A77409" w14:paraId="46120225" w14:textId="77777777" w:rsidTr="006A0091">
        <w:trPr>
          <w:trHeight w:val="132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025D70A9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center"/>
            <w:hideMark/>
          </w:tcPr>
          <w:p w14:paraId="55B7C1F5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34" w:type="dxa"/>
            <w:gridSpan w:val="2"/>
            <w:shd w:val="clear" w:color="auto" w:fill="auto"/>
            <w:noWrap/>
            <w:vAlign w:val="center"/>
            <w:hideMark/>
          </w:tcPr>
          <w:p w14:paraId="0598C78D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2126" w:type="dxa"/>
            <w:gridSpan w:val="2"/>
            <w:shd w:val="clear" w:color="auto" w:fill="auto"/>
            <w:noWrap/>
            <w:vAlign w:val="center"/>
            <w:hideMark/>
          </w:tcPr>
          <w:p w14:paraId="512C13C9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125" w:type="dxa"/>
            <w:vMerge w:val="restart"/>
            <w:shd w:val="clear" w:color="auto" w:fill="auto"/>
            <w:noWrap/>
            <w:vAlign w:val="center"/>
            <w:hideMark/>
          </w:tcPr>
          <w:p w14:paraId="22FFDC44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134" w:type="dxa"/>
            <w:vMerge w:val="restart"/>
            <w:vAlign w:val="center"/>
          </w:tcPr>
          <w:p w14:paraId="4CB1D2CD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5CF0E1D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34" w:type="dxa"/>
            <w:vMerge w:val="restart"/>
            <w:vAlign w:val="center"/>
          </w:tcPr>
          <w:p w14:paraId="2015712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71A33398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34" w:type="dxa"/>
            <w:vMerge w:val="restart"/>
            <w:vAlign w:val="center"/>
          </w:tcPr>
          <w:p w14:paraId="1CFF382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061A9D52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E24473" w:rsidRPr="00A77409" w14:paraId="289406D1" w14:textId="77777777" w:rsidTr="006A0091">
        <w:trPr>
          <w:trHeight w:val="300"/>
        </w:trPr>
        <w:tc>
          <w:tcPr>
            <w:tcW w:w="1561" w:type="dxa"/>
            <w:vMerge/>
            <w:shd w:val="clear" w:color="auto" w:fill="auto"/>
            <w:noWrap/>
            <w:vAlign w:val="center"/>
          </w:tcPr>
          <w:p w14:paraId="3BE9177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836EC4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851" w:type="dxa"/>
            <w:vAlign w:val="center"/>
          </w:tcPr>
          <w:p w14:paraId="6E133FC6" w14:textId="77777777" w:rsidR="00E24473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38282F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717" w:type="dxa"/>
            <w:vAlign w:val="center"/>
          </w:tcPr>
          <w:p w14:paraId="70E8320C" w14:textId="77777777" w:rsidR="00E24473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16D4E63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717" w:type="dxa"/>
            <w:vAlign w:val="center"/>
          </w:tcPr>
          <w:p w14:paraId="00912042" w14:textId="77777777" w:rsidR="00E24473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125" w:type="dxa"/>
            <w:vMerge/>
            <w:shd w:val="clear" w:color="auto" w:fill="auto"/>
            <w:noWrap/>
            <w:vAlign w:val="center"/>
          </w:tcPr>
          <w:p w14:paraId="5A8F27A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Merge/>
            <w:vAlign w:val="center"/>
          </w:tcPr>
          <w:p w14:paraId="40F0AA1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BBA7F7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CB9A24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24473" w:rsidRPr="00A77409" w14:paraId="73A58FBF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51D6453C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Mechanical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***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42AE95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1995 (17.4%)</w:t>
            </w:r>
          </w:p>
        </w:tc>
        <w:tc>
          <w:tcPr>
            <w:tcW w:w="851" w:type="dxa"/>
            <w:vAlign w:val="center"/>
          </w:tcPr>
          <w:p w14:paraId="1D4565B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A5C44E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6021 (27.4%)</w:t>
            </w:r>
          </w:p>
        </w:tc>
        <w:tc>
          <w:tcPr>
            <w:tcW w:w="717" w:type="dxa"/>
            <w:vAlign w:val="center"/>
          </w:tcPr>
          <w:p w14:paraId="10CAF09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547D631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567 (17.5%)</w:t>
            </w:r>
          </w:p>
        </w:tc>
        <w:tc>
          <w:tcPr>
            <w:tcW w:w="717" w:type="dxa"/>
            <w:vAlign w:val="center"/>
          </w:tcPr>
          <w:p w14:paraId="694F621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2571F18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1F4CA41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5A3FAF1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1134" w:type="dxa"/>
            <w:vAlign w:val="center"/>
          </w:tcPr>
          <w:p w14:paraId="582DE48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2247E99A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18877C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Haemorrhagic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B676AE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1634 (14.3%)</w:t>
            </w:r>
          </w:p>
        </w:tc>
        <w:tc>
          <w:tcPr>
            <w:tcW w:w="851" w:type="dxa"/>
            <w:vAlign w:val="center"/>
          </w:tcPr>
          <w:p w14:paraId="297CEB7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86151D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3172 (14.4%)</w:t>
            </w:r>
          </w:p>
        </w:tc>
        <w:tc>
          <w:tcPr>
            <w:tcW w:w="717" w:type="dxa"/>
            <w:vAlign w:val="center"/>
          </w:tcPr>
          <w:p w14:paraId="088DDF15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45B3D5A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349 (10.8%)</w:t>
            </w:r>
          </w:p>
        </w:tc>
        <w:tc>
          <w:tcPr>
            <w:tcW w:w="717" w:type="dxa"/>
            <w:vAlign w:val="center"/>
          </w:tcPr>
          <w:p w14:paraId="1F18949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0.56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D09BA7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943AEB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491840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1D82140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0.015</w:t>
            </w:r>
          </w:p>
        </w:tc>
      </w:tr>
      <w:tr w:rsidR="00E24473" w:rsidRPr="00A77409" w14:paraId="44129A7B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BD9793C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Renal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10CC6C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3386 (29.6%)</w:t>
            </w:r>
          </w:p>
        </w:tc>
        <w:tc>
          <w:tcPr>
            <w:tcW w:w="851" w:type="dxa"/>
            <w:vAlign w:val="center"/>
          </w:tcPr>
          <w:p w14:paraId="023324F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1.55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F1E4C6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6440 (29.3%)</w:t>
            </w:r>
          </w:p>
        </w:tc>
        <w:tc>
          <w:tcPr>
            <w:tcW w:w="717" w:type="dxa"/>
            <w:vAlign w:val="center"/>
          </w:tcPr>
          <w:p w14:paraId="486522F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6AFB6CE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901 (27.9%)</w:t>
            </w:r>
          </w:p>
        </w:tc>
        <w:tc>
          <w:tcPr>
            <w:tcW w:w="717" w:type="dxa"/>
            <w:vAlign w:val="center"/>
          </w:tcPr>
          <w:p w14:paraId="4A8E51A1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1.44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50DE7AA8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21471D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655F699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0.47</w:t>
            </w:r>
          </w:p>
        </w:tc>
        <w:tc>
          <w:tcPr>
            <w:tcW w:w="1134" w:type="dxa"/>
            <w:vAlign w:val="center"/>
          </w:tcPr>
          <w:p w14:paraId="1863B48F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7385E6CC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18BD33E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Pulmonary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D7E03B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801 (7.0%)</w:t>
            </w:r>
          </w:p>
        </w:tc>
        <w:tc>
          <w:tcPr>
            <w:tcW w:w="851" w:type="dxa"/>
            <w:vAlign w:val="center"/>
          </w:tcPr>
          <w:p w14:paraId="566207B5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9CE7E6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2803 (12.7%)</w:t>
            </w:r>
          </w:p>
        </w:tc>
        <w:tc>
          <w:tcPr>
            <w:tcW w:w="717" w:type="dxa"/>
            <w:vAlign w:val="center"/>
          </w:tcPr>
          <w:p w14:paraId="51D2F7A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0.32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25728B4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265 (8.2%)</w:t>
            </w:r>
          </w:p>
        </w:tc>
        <w:tc>
          <w:tcPr>
            <w:tcW w:w="717" w:type="dxa"/>
            <w:vAlign w:val="center"/>
          </w:tcPr>
          <w:p w14:paraId="365691B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3221E32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5914A47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7F72E46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0.0029</w:t>
            </w:r>
          </w:p>
        </w:tc>
        <w:tc>
          <w:tcPr>
            <w:tcW w:w="1134" w:type="dxa"/>
            <w:vAlign w:val="center"/>
          </w:tcPr>
          <w:p w14:paraId="30B6E54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382012DA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72F4076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Cardiovascular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6CE19C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1606 (14.0%)</w:t>
            </w:r>
          </w:p>
        </w:tc>
        <w:tc>
          <w:tcPr>
            <w:tcW w:w="851" w:type="dxa"/>
            <w:vAlign w:val="center"/>
          </w:tcPr>
          <w:p w14:paraId="7BBE87E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771A39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2715 (12.3%)</w:t>
            </w:r>
          </w:p>
        </w:tc>
        <w:tc>
          <w:tcPr>
            <w:tcW w:w="717" w:type="dxa"/>
            <w:vAlign w:val="center"/>
          </w:tcPr>
          <w:p w14:paraId="3D9E4B9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7CC701B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361 (11.2%)</w:t>
            </w:r>
          </w:p>
        </w:tc>
        <w:tc>
          <w:tcPr>
            <w:tcW w:w="717" w:type="dxa"/>
            <w:vAlign w:val="center"/>
          </w:tcPr>
          <w:p w14:paraId="7999170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0.58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11644A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E53DEE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29A4A6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1134" w:type="dxa"/>
            <w:vAlign w:val="center"/>
          </w:tcPr>
          <w:p w14:paraId="7424857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0.19</w:t>
            </w:r>
          </w:p>
        </w:tc>
      </w:tr>
      <w:tr w:rsidR="00E24473" w:rsidRPr="00A77409" w14:paraId="32BB6F82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417FF4A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Metabolic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4D9CB7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834 (7.3%)</w:t>
            </w:r>
          </w:p>
        </w:tc>
        <w:tc>
          <w:tcPr>
            <w:tcW w:w="851" w:type="dxa"/>
            <w:vAlign w:val="center"/>
          </w:tcPr>
          <w:p w14:paraId="125F666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0E9476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1910 (8.7%)</w:t>
            </w:r>
          </w:p>
        </w:tc>
        <w:tc>
          <w:tcPr>
            <w:tcW w:w="717" w:type="dxa"/>
            <w:vAlign w:val="center"/>
          </w:tcPr>
          <w:p w14:paraId="4065122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0.21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00767D5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259 (8.0%)</w:t>
            </w:r>
          </w:p>
        </w:tc>
        <w:tc>
          <w:tcPr>
            <w:tcW w:w="717" w:type="dxa"/>
            <w:vAlign w:val="center"/>
          </w:tcPr>
          <w:p w14:paraId="5CB379A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6C4DD51A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0.11</w:t>
            </w:r>
          </w:p>
        </w:tc>
        <w:tc>
          <w:tcPr>
            <w:tcW w:w="1134" w:type="dxa"/>
            <w:vAlign w:val="center"/>
          </w:tcPr>
          <w:p w14:paraId="00F533E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0.21</w:t>
            </w:r>
          </w:p>
        </w:tc>
        <w:tc>
          <w:tcPr>
            <w:tcW w:w="1134" w:type="dxa"/>
            <w:vAlign w:val="center"/>
          </w:tcPr>
          <w:p w14:paraId="59D58062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1134" w:type="dxa"/>
            <w:vAlign w:val="center"/>
          </w:tcPr>
          <w:p w14:paraId="6EAB0A6A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0.21</w:t>
            </w:r>
          </w:p>
        </w:tc>
      </w:tr>
      <w:tr w:rsidR="00E24473" w:rsidRPr="00A77409" w14:paraId="5572F08D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5BB1906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Infectious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5FD0EB7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428 (3.7%)</w:t>
            </w:r>
          </w:p>
        </w:tc>
        <w:tc>
          <w:tcPr>
            <w:tcW w:w="851" w:type="dxa"/>
            <w:vAlign w:val="center"/>
          </w:tcPr>
          <w:p w14:paraId="182A59C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0.20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BC2CBD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315 (1.4%)</w:t>
            </w:r>
          </w:p>
        </w:tc>
        <w:tc>
          <w:tcPr>
            <w:tcW w:w="717" w:type="dxa"/>
            <w:vAlign w:val="center"/>
          </w:tcPr>
          <w:p w14:paraId="6B1382F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6694724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 (0.9%)</w:t>
            </w:r>
          </w:p>
        </w:tc>
        <w:tc>
          <w:tcPr>
            <w:tcW w:w="717" w:type="dxa"/>
            <w:vAlign w:val="center"/>
          </w:tcPr>
          <w:p w14:paraId="67F21118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4C86C21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68D1270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3AD216BF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28BF7ED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0.10</w:t>
            </w:r>
          </w:p>
        </w:tc>
      </w:tr>
      <w:tr w:rsidR="00E24473" w:rsidRPr="00A77409" w14:paraId="65A38DE3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5832C4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Limb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445D46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136 (1.2%)</w:t>
            </w:r>
          </w:p>
        </w:tc>
        <w:tc>
          <w:tcPr>
            <w:tcW w:w="851" w:type="dxa"/>
            <w:vAlign w:val="center"/>
          </w:tcPr>
          <w:p w14:paraId="05F2CAB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E56962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 (0.9%)</w:t>
            </w:r>
          </w:p>
        </w:tc>
        <w:tc>
          <w:tcPr>
            <w:tcW w:w="717" w:type="dxa"/>
            <w:vAlign w:val="center"/>
          </w:tcPr>
          <w:p w14:paraId="6ACB5CA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16AEC15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36 (1.1%)</w:t>
            </w:r>
          </w:p>
        </w:tc>
        <w:tc>
          <w:tcPr>
            <w:tcW w:w="717" w:type="dxa"/>
            <w:vAlign w:val="center"/>
          </w:tcPr>
          <w:p w14:paraId="493B3F47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0.06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0F7747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0.0010</w:t>
            </w:r>
          </w:p>
        </w:tc>
        <w:tc>
          <w:tcPr>
            <w:tcW w:w="1134" w:type="dxa"/>
            <w:vAlign w:val="center"/>
          </w:tcPr>
          <w:p w14:paraId="303CB641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0.0016</w:t>
            </w:r>
          </w:p>
        </w:tc>
        <w:tc>
          <w:tcPr>
            <w:tcW w:w="1134" w:type="dxa"/>
            <w:vAlign w:val="center"/>
          </w:tcPr>
          <w:p w14:paraId="2428A31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0.97</w:t>
            </w:r>
          </w:p>
        </w:tc>
        <w:tc>
          <w:tcPr>
            <w:tcW w:w="1134" w:type="dxa"/>
            <w:vAlign w:val="center"/>
          </w:tcPr>
          <w:p w14:paraId="4605C00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0.084</w:t>
            </w:r>
          </w:p>
        </w:tc>
      </w:tr>
    </w:tbl>
    <w:p w14:paraId="4E872371" w14:textId="77777777" w:rsidR="00E24473" w:rsidRPr="00A77409" w:rsidRDefault="00E24473" w:rsidP="00E2447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*Number of complications per 1000 hours of ECMO run. </w:t>
      </w:r>
    </w:p>
    <w:p w14:paraId="3167880F" w14:textId="77777777" w:rsidR="00E24473" w:rsidRDefault="00E24473" w:rsidP="00E2447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**P-values in this table compare between the proportion of patients who suffer from a complication.</w:t>
      </w:r>
    </w:p>
    <w:p w14:paraId="3361B7EC" w14:textId="6BDB7167" w:rsidR="00FC419B" w:rsidRPr="00A77409" w:rsidRDefault="00E24473" w:rsidP="00E24473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***Complications have been grouped into broad categories in accordance with the ELSO registry.</w:t>
      </w:r>
    </w:p>
    <w:sectPr w:rsidR="00FC419B" w:rsidRPr="00A77409" w:rsidSect="00890CCF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97"/>
    <w:rsid w:val="00007307"/>
    <w:rsid w:val="0001078F"/>
    <w:rsid w:val="000163B5"/>
    <w:rsid w:val="00016A39"/>
    <w:rsid w:val="00017206"/>
    <w:rsid w:val="000172EA"/>
    <w:rsid w:val="000241B9"/>
    <w:rsid w:val="000419CD"/>
    <w:rsid w:val="0005409D"/>
    <w:rsid w:val="0005517C"/>
    <w:rsid w:val="000733C9"/>
    <w:rsid w:val="00074FAB"/>
    <w:rsid w:val="000835C6"/>
    <w:rsid w:val="00087002"/>
    <w:rsid w:val="00091AEE"/>
    <w:rsid w:val="000B454C"/>
    <w:rsid w:val="000D4F93"/>
    <w:rsid w:val="000D7290"/>
    <w:rsid w:val="000E0B11"/>
    <w:rsid w:val="000E3324"/>
    <w:rsid w:val="00102991"/>
    <w:rsid w:val="0010365E"/>
    <w:rsid w:val="0010759A"/>
    <w:rsid w:val="00116382"/>
    <w:rsid w:val="00144201"/>
    <w:rsid w:val="00145FB1"/>
    <w:rsid w:val="00194625"/>
    <w:rsid w:val="001A1382"/>
    <w:rsid w:val="001B1324"/>
    <w:rsid w:val="001B3EFE"/>
    <w:rsid w:val="001B5154"/>
    <w:rsid w:val="001C731A"/>
    <w:rsid w:val="001D5279"/>
    <w:rsid w:val="001D7047"/>
    <w:rsid w:val="001F2876"/>
    <w:rsid w:val="001F2A3F"/>
    <w:rsid w:val="001F3CBB"/>
    <w:rsid w:val="001F49A9"/>
    <w:rsid w:val="002109E4"/>
    <w:rsid w:val="00215BE3"/>
    <w:rsid w:val="002173D3"/>
    <w:rsid w:val="002309B0"/>
    <w:rsid w:val="002327A9"/>
    <w:rsid w:val="002370DF"/>
    <w:rsid w:val="00253FA2"/>
    <w:rsid w:val="0025681A"/>
    <w:rsid w:val="00264872"/>
    <w:rsid w:val="0027543E"/>
    <w:rsid w:val="0028347A"/>
    <w:rsid w:val="002A2077"/>
    <w:rsid w:val="002A318C"/>
    <w:rsid w:val="002A7F7F"/>
    <w:rsid w:val="002C2E8F"/>
    <w:rsid w:val="002C3DF5"/>
    <w:rsid w:val="002C7565"/>
    <w:rsid w:val="002D09E2"/>
    <w:rsid w:val="002E5DAC"/>
    <w:rsid w:val="002F23D1"/>
    <w:rsid w:val="003016A0"/>
    <w:rsid w:val="0031308F"/>
    <w:rsid w:val="00324FE3"/>
    <w:rsid w:val="00327442"/>
    <w:rsid w:val="00343BAC"/>
    <w:rsid w:val="00355DB5"/>
    <w:rsid w:val="00357CC3"/>
    <w:rsid w:val="00362B60"/>
    <w:rsid w:val="003721DF"/>
    <w:rsid w:val="00372A58"/>
    <w:rsid w:val="00376F7A"/>
    <w:rsid w:val="00382979"/>
    <w:rsid w:val="00391A89"/>
    <w:rsid w:val="003927FF"/>
    <w:rsid w:val="003A050B"/>
    <w:rsid w:val="003B42FE"/>
    <w:rsid w:val="003D46D8"/>
    <w:rsid w:val="003D6521"/>
    <w:rsid w:val="003E55C2"/>
    <w:rsid w:val="003F1D2F"/>
    <w:rsid w:val="00402F05"/>
    <w:rsid w:val="00413E0E"/>
    <w:rsid w:val="00423982"/>
    <w:rsid w:val="00440007"/>
    <w:rsid w:val="00445E97"/>
    <w:rsid w:val="004527DA"/>
    <w:rsid w:val="004824A1"/>
    <w:rsid w:val="004A73D7"/>
    <w:rsid w:val="004A7CCB"/>
    <w:rsid w:val="004B2E34"/>
    <w:rsid w:val="004B3515"/>
    <w:rsid w:val="004D3DA1"/>
    <w:rsid w:val="004E2711"/>
    <w:rsid w:val="004F5E77"/>
    <w:rsid w:val="00504EBD"/>
    <w:rsid w:val="00505258"/>
    <w:rsid w:val="00524C52"/>
    <w:rsid w:val="00526F28"/>
    <w:rsid w:val="005333D0"/>
    <w:rsid w:val="00533B26"/>
    <w:rsid w:val="00542267"/>
    <w:rsid w:val="00547672"/>
    <w:rsid w:val="00560EA3"/>
    <w:rsid w:val="00577824"/>
    <w:rsid w:val="00580D03"/>
    <w:rsid w:val="00591E9A"/>
    <w:rsid w:val="005B7067"/>
    <w:rsid w:val="005C154B"/>
    <w:rsid w:val="005C4605"/>
    <w:rsid w:val="005C5B61"/>
    <w:rsid w:val="005D4919"/>
    <w:rsid w:val="005E7911"/>
    <w:rsid w:val="005F552B"/>
    <w:rsid w:val="005F5A8A"/>
    <w:rsid w:val="005F771D"/>
    <w:rsid w:val="00652F9B"/>
    <w:rsid w:val="00684570"/>
    <w:rsid w:val="006B50FD"/>
    <w:rsid w:val="006C56C2"/>
    <w:rsid w:val="006F09B8"/>
    <w:rsid w:val="006F4C4C"/>
    <w:rsid w:val="00703A8E"/>
    <w:rsid w:val="007047FD"/>
    <w:rsid w:val="00705271"/>
    <w:rsid w:val="007220F6"/>
    <w:rsid w:val="00726EF0"/>
    <w:rsid w:val="00734213"/>
    <w:rsid w:val="00743080"/>
    <w:rsid w:val="0076258C"/>
    <w:rsid w:val="00765881"/>
    <w:rsid w:val="00771EAE"/>
    <w:rsid w:val="00772A20"/>
    <w:rsid w:val="00780395"/>
    <w:rsid w:val="00780CE5"/>
    <w:rsid w:val="007818C8"/>
    <w:rsid w:val="00792348"/>
    <w:rsid w:val="0079558A"/>
    <w:rsid w:val="0079617D"/>
    <w:rsid w:val="007A20D8"/>
    <w:rsid w:val="007A5A13"/>
    <w:rsid w:val="007A7A2B"/>
    <w:rsid w:val="007B4DB4"/>
    <w:rsid w:val="007C329E"/>
    <w:rsid w:val="007C4959"/>
    <w:rsid w:val="007D57C6"/>
    <w:rsid w:val="007E1AF9"/>
    <w:rsid w:val="007E3E00"/>
    <w:rsid w:val="007F5B9B"/>
    <w:rsid w:val="007F6BBB"/>
    <w:rsid w:val="00812192"/>
    <w:rsid w:val="008304AE"/>
    <w:rsid w:val="00833962"/>
    <w:rsid w:val="0083459D"/>
    <w:rsid w:val="00836747"/>
    <w:rsid w:val="0086088C"/>
    <w:rsid w:val="00890CCF"/>
    <w:rsid w:val="00891551"/>
    <w:rsid w:val="00896600"/>
    <w:rsid w:val="00897CD4"/>
    <w:rsid w:val="008B4A75"/>
    <w:rsid w:val="008D04F7"/>
    <w:rsid w:val="008D1C44"/>
    <w:rsid w:val="008D6AD4"/>
    <w:rsid w:val="008E08ED"/>
    <w:rsid w:val="008F352E"/>
    <w:rsid w:val="008F3AC2"/>
    <w:rsid w:val="008F5EEB"/>
    <w:rsid w:val="009022FA"/>
    <w:rsid w:val="00926936"/>
    <w:rsid w:val="00945FA2"/>
    <w:rsid w:val="00947FAA"/>
    <w:rsid w:val="009517B5"/>
    <w:rsid w:val="009560D3"/>
    <w:rsid w:val="00962663"/>
    <w:rsid w:val="00967170"/>
    <w:rsid w:val="00970F2F"/>
    <w:rsid w:val="00971240"/>
    <w:rsid w:val="009904D0"/>
    <w:rsid w:val="009940FE"/>
    <w:rsid w:val="009D6EFA"/>
    <w:rsid w:val="009E6571"/>
    <w:rsid w:val="009F40A3"/>
    <w:rsid w:val="009F53A3"/>
    <w:rsid w:val="00A04E25"/>
    <w:rsid w:val="00A060B9"/>
    <w:rsid w:val="00A06B6B"/>
    <w:rsid w:val="00A10D24"/>
    <w:rsid w:val="00A53884"/>
    <w:rsid w:val="00A57A0C"/>
    <w:rsid w:val="00A626B3"/>
    <w:rsid w:val="00A77409"/>
    <w:rsid w:val="00AA0699"/>
    <w:rsid w:val="00AA4739"/>
    <w:rsid w:val="00AB2EF1"/>
    <w:rsid w:val="00AB47C0"/>
    <w:rsid w:val="00AC5290"/>
    <w:rsid w:val="00AC59E5"/>
    <w:rsid w:val="00AD4D80"/>
    <w:rsid w:val="00AD7EB7"/>
    <w:rsid w:val="00AE1A63"/>
    <w:rsid w:val="00AE1D41"/>
    <w:rsid w:val="00B2416D"/>
    <w:rsid w:val="00B24D87"/>
    <w:rsid w:val="00B3741C"/>
    <w:rsid w:val="00B46B2D"/>
    <w:rsid w:val="00B5442C"/>
    <w:rsid w:val="00B93E9C"/>
    <w:rsid w:val="00B945F7"/>
    <w:rsid w:val="00B973EE"/>
    <w:rsid w:val="00BA656C"/>
    <w:rsid w:val="00BC42E5"/>
    <w:rsid w:val="00BD018F"/>
    <w:rsid w:val="00BD44CF"/>
    <w:rsid w:val="00BD49F7"/>
    <w:rsid w:val="00BD64A4"/>
    <w:rsid w:val="00BE0CB8"/>
    <w:rsid w:val="00BF0167"/>
    <w:rsid w:val="00C45032"/>
    <w:rsid w:val="00C569B7"/>
    <w:rsid w:val="00C64427"/>
    <w:rsid w:val="00C80643"/>
    <w:rsid w:val="00C8505B"/>
    <w:rsid w:val="00CA2697"/>
    <w:rsid w:val="00CA2E38"/>
    <w:rsid w:val="00CA3DFF"/>
    <w:rsid w:val="00CA4492"/>
    <w:rsid w:val="00CB466B"/>
    <w:rsid w:val="00CB48B8"/>
    <w:rsid w:val="00CB61F5"/>
    <w:rsid w:val="00CC1F7F"/>
    <w:rsid w:val="00CE1464"/>
    <w:rsid w:val="00CF3D2C"/>
    <w:rsid w:val="00D13CF4"/>
    <w:rsid w:val="00D15649"/>
    <w:rsid w:val="00D178B3"/>
    <w:rsid w:val="00D21318"/>
    <w:rsid w:val="00D27B45"/>
    <w:rsid w:val="00D415D9"/>
    <w:rsid w:val="00D45D0F"/>
    <w:rsid w:val="00D54712"/>
    <w:rsid w:val="00D6254A"/>
    <w:rsid w:val="00D649EB"/>
    <w:rsid w:val="00D94BEB"/>
    <w:rsid w:val="00DB7BF6"/>
    <w:rsid w:val="00DB7FA6"/>
    <w:rsid w:val="00DC1D5B"/>
    <w:rsid w:val="00DC1DCD"/>
    <w:rsid w:val="00DC481F"/>
    <w:rsid w:val="00DD5E30"/>
    <w:rsid w:val="00DE1D66"/>
    <w:rsid w:val="00DE53A2"/>
    <w:rsid w:val="00E24473"/>
    <w:rsid w:val="00E24D90"/>
    <w:rsid w:val="00E33833"/>
    <w:rsid w:val="00E527E1"/>
    <w:rsid w:val="00E62FE4"/>
    <w:rsid w:val="00E63EF3"/>
    <w:rsid w:val="00E8573D"/>
    <w:rsid w:val="00E911FF"/>
    <w:rsid w:val="00EA017D"/>
    <w:rsid w:val="00EB4409"/>
    <w:rsid w:val="00EB70DF"/>
    <w:rsid w:val="00EC547E"/>
    <w:rsid w:val="00ED7BF7"/>
    <w:rsid w:val="00EE6D06"/>
    <w:rsid w:val="00F004F9"/>
    <w:rsid w:val="00F13B3E"/>
    <w:rsid w:val="00F14662"/>
    <w:rsid w:val="00F14A1C"/>
    <w:rsid w:val="00F15C8B"/>
    <w:rsid w:val="00F22461"/>
    <w:rsid w:val="00F254E4"/>
    <w:rsid w:val="00F43B70"/>
    <w:rsid w:val="00F5029A"/>
    <w:rsid w:val="00F51049"/>
    <w:rsid w:val="00F73434"/>
    <w:rsid w:val="00F80F7F"/>
    <w:rsid w:val="00F84855"/>
    <w:rsid w:val="00F876E6"/>
    <w:rsid w:val="00F87AB8"/>
    <w:rsid w:val="00F94D79"/>
    <w:rsid w:val="00FC419B"/>
    <w:rsid w:val="00FC41E5"/>
    <w:rsid w:val="00FC43CA"/>
    <w:rsid w:val="00FC5B45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0E35"/>
  <w15:chartTrackingRefBased/>
  <w15:docId w15:val="{64408106-2B2E-6A48-9EE0-76D5A5C8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1DF"/>
    <w:pPr>
      <w:keepNext/>
      <w:keepLines/>
      <w:outlineLvl w:val="0"/>
    </w:pPr>
    <w:rPr>
      <w:rFonts w:ascii="Arial" w:hAnsi="Arial"/>
      <w:b/>
      <w:bCs/>
      <w:sz w:val="2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876E6"/>
    <w:pPr>
      <w:spacing w:line="276" w:lineRule="auto"/>
    </w:pPr>
    <w:rPr>
      <w:rFonts w:ascii="Arial" w:eastAsia="Arial" w:hAnsi="Arial" w:cs="Arial"/>
      <w:bCs/>
      <w:iCs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721DF"/>
    <w:rPr>
      <w:rFonts w:ascii="Arial" w:hAnsi="Arial"/>
      <w:b/>
      <w:bCs/>
      <w:sz w:val="20"/>
      <w:szCs w:val="4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33962"/>
    <w:pPr>
      <w:ind w:left="240" w:hanging="240"/>
    </w:pPr>
    <w:rPr>
      <w:rFonts w:ascii="Arial" w:eastAsia="Times New Roman" w:hAnsi="Arial" w:cs="Times New Roman"/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4A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4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1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19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6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Ling</dc:creator>
  <cp:keywords/>
  <dc:description/>
  <cp:lastModifiedBy>Ryan Ling</cp:lastModifiedBy>
  <cp:revision>8</cp:revision>
  <dcterms:created xsi:type="dcterms:W3CDTF">2024-10-26T08:23:00Z</dcterms:created>
  <dcterms:modified xsi:type="dcterms:W3CDTF">2024-11-07T01:01:00Z</dcterms:modified>
</cp:coreProperties>
</file>