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6B1" w:rsidRPr="006C2870" w:rsidRDefault="002606B1" w:rsidP="002606B1">
      <w:pPr>
        <w:pStyle w:val="QRCbodytext"/>
        <w:rPr>
          <w:sz w:val="32"/>
          <w:szCs w:val="32"/>
          <w:lang w:val="fr-FR"/>
        </w:rPr>
      </w:pPr>
      <w:bookmarkStart w:id="0" w:name="_Toc453227622"/>
      <w:r>
        <w:rPr>
          <w:sz w:val="32"/>
          <w:szCs w:val="32"/>
          <w:lang w:val="fr-CA"/>
        </w:rPr>
        <w:t xml:space="preserve">KPMG Clara Computer </w:t>
      </w:r>
      <w:r w:rsidRPr="006C2870">
        <w:rPr>
          <w:sz w:val="32"/>
          <w:szCs w:val="32"/>
          <w:lang w:val="fr-CA"/>
        </w:rPr>
        <w:t>Assisted Audit Techniques (KPMG Clara CAATs) Document</w:t>
      </w:r>
      <w:bookmarkEnd w:id="0"/>
    </w:p>
    <w:tbl>
      <w:tblPr>
        <w:tblW w:w="9475" w:type="dxa"/>
        <w:tblBorders>
          <w:top w:val="single" w:sz="12" w:space="0" w:color="000000"/>
          <w:bottom w:val="single" w:sz="12" w:space="0" w:color="000000"/>
        </w:tblBorders>
        <w:tblLook w:val="0000" w:firstRow="0" w:lastRow="0" w:firstColumn="0" w:lastColumn="0" w:noHBand="0" w:noVBand="0"/>
      </w:tblPr>
      <w:tblGrid>
        <w:gridCol w:w="5146"/>
        <w:gridCol w:w="2066"/>
        <w:gridCol w:w="2263"/>
      </w:tblGrid>
      <w:tr w:rsidR="002606B1" w:rsidRPr="006C2870" w:rsidTr="00931423">
        <w:trPr>
          <w:trHeight w:val="420"/>
        </w:trPr>
        <w:tc>
          <w:tcPr>
            <w:tcW w:w="4826" w:type="dxa"/>
            <w:shd w:val="clear" w:color="auto" w:fill="auto"/>
          </w:tcPr>
          <w:p w:rsidR="002606B1" w:rsidRPr="006C2870" w:rsidRDefault="002606B1" w:rsidP="00931423">
            <w:pPr>
              <w:pStyle w:val="QRCbodytext"/>
              <w:rPr>
                <w:b/>
              </w:rPr>
            </w:pPr>
            <w:bookmarkStart w:id="1" w:name="_Toc453227623"/>
            <w:r w:rsidRPr="006C2870">
              <w:rPr>
                <w:b/>
              </w:rPr>
              <w:t>Entity</w:t>
            </w:r>
          </w:p>
        </w:tc>
        <w:tc>
          <w:tcPr>
            <w:tcW w:w="1937" w:type="dxa"/>
            <w:shd w:val="clear" w:color="auto" w:fill="auto"/>
          </w:tcPr>
          <w:p w:rsidR="002606B1" w:rsidRPr="006C2870" w:rsidRDefault="002606B1" w:rsidP="00931423">
            <w:pPr>
              <w:pStyle w:val="QRCbodytext"/>
              <w:rPr>
                <w:b/>
              </w:rPr>
            </w:pPr>
            <w:r w:rsidRPr="006C2870">
              <w:rPr>
                <w:b/>
              </w:rPr>
              <w:t>Period-end</w:t>
            </w:r>
          </w:p>
        </w:tc>
        <w:tc>
          <w:tcPr>
            <w:tcW w:w="2122" w:type="dxa"/>
            <w:shd w:val="clear" w:color="auto" w:fill="auto"/>
          </w:tcPr>
          <w:p w:rsidR="002606B1" w:rsidRPr="006C2870" w:rsidRDefault="002606B1" w:rsidP="00931423">
            <w:pPr>
              <w:pStyle w:val="QRCbodytext"/>
              <w:rPr>
                <w:b/>
              </w:rPr>
            </w:pPr>
            <w:r w:rsidRPr="006C2870">
              <w:rPr>
                <w:b/>
              </w:rPr>
              <w:t>Reference</w:t>
            </w:r>
          </w:p>
        </w:tc>
      </w:tr>
      <w:tr w:rsidR="002606B1" w:rsidRPr="00C42B44" w:rsidTr="00931423">
        <w:trPr>
          <w:trHeight w:val="20"/>
        </w:trPr>
        <w:tc>
          <w:tcPr>
            <w:tcW w:w="4826" w:type="dxa"/>
            <w:shd w:val="clear" w:color="auto" w:fill="auto"/>
          </w:tcPr>
          <w:p w:rsidR="002606B1" w:rsidRPr="00C42B44" w:rsidRDefault="002606B1" w:rsidP="00931423">
            <w:pPr>
              <w:pStyle w:val="QRCbodytext"/>
            </w:pPr>
            <w:r w:rsidRPr="00C42B44">
              <w:t>[Entity]</w:t>
            </w:r>
          </w:p>
        </w:tc>
        <w:tc>
          <w:tcPr>
            <w:tcW w:w="1937" w:type="dxa"/>
            <w:shd w:val="clear" w:color="auto" w:fill="auto"/>
          </w:tcPr>
          <w:p w:rsidR="002606B1" w:rsidRPr="00C42B44" w:rsidRDefault="002606B1" w:rsidP="00931423">
            <w:pPr>
              <w:pStyle w:val="QRCbodytext"/>
            </w:pPr>
            <w:r w:rsidRPr="00C42B44">
              <w:t>[Period-end]</w:t>
            </w:r>
          </w:p>
        </w:tc>
        <w:tc>
          <w:tcPr>
            <w:tcW w:w="2122" w:type="dxa"/>
            <w:shd w:val="clear" w:color="auto" w:fill="auto"/>
          </w:tcPr>
          <w:p w:rsidR="002606B1" w:rsidRPr="00C42B44" w:rsidRDefault="002606B1" w:rsidP="00931423">
            <w:pPr>
              <w:pStyle w:val="QRCbodytext"/>
            </w:pPr>
            <w:r w:rsidRPr="00C42B44">
              <w:t>[Reference]</w:t>
            </w:r>
          </w:p>
        </w:tc>
      </w:tr>
      <w:tr w:rsidR="002606B1" w:rsidRPr="00C42B44" w:rsidTr="00931423">
        <w:trPr>
          <w:trHeight w:val="20"/>
        </w:trPr>
        <w:tc>
          <w:tcPr>
            <w:tcW w:w="8885" w:type="dxa"/>
            <w:gridSpan w:val="3"/>
            <w:shd w:val="clear" w:color="auto" w:fill="auto"/>
          </w:tcPr>
          <w:p w:rsidR="002606B1" w:rsidRPr="006C2870" w:rsidRDefault="002606B1" w:rsidP="00931423">
            <w:pPr>
              <w:pStyle w:val="QRCbodytext"/>
              <w:rPr>
                <w:b/>
                <w:sz w:val="20"/>
                <w:szCs w:val="18"/>
              </w:rPr>
            </w:pPr>
            <w:r w:rsidRPr="006C2870">
              <w:rPr>
                <w:b/>
                <w:szCs w:val="18"/>
              </w:rPr>
              <w:t>Audit procedure</w:t>
            </w:r>
            <w:r w:rsidRPr="006C2870">
              <w:rPr>
                <w:b/>
                <w:sz w:val="20"/>
                <w:szCs w:val="18"/>
              </w:rPr>
              <w:t xml:space="preserve"> </w:t>
            </w:r>
          </w:p>
          <w:p w:rsidR="002606B1" w:rsidRPr="00C42B44" w:rsidRDefault="002606B1" w:rsidP="00931423">
            <w:pPr>
              <w:pStyle w:val="QRCbodytext"/>
            </w:pPr>
            <w:r w:rsidRPr="00C42B44">
              <w:t>[Audit procedure]</w:t>
            </w:r>
          </w:p>
        </w:tc>
      </w:tr>
    </w:tbl>
    <w:p w:rsidR="002606B1" w:rsidRPr="00C42B44" w:rsidRDefault="002606B1" w:rsidP="002606B1">
      <w:pPr>
        <w:pStyle w:val="QRCboldsub-title"/>
      </w:pPr>
      <w:r w:rsidRPr="00C42B44">
        <w:t>Purpose</w:t>
      </w:r>
      <w:bookmarkEnd w:id="1"/>
    </w:p>
    <w:p w:rsidR="002606B1" w:rsidRPr="00C42B44" w:rsidRDefault="002606B1" w:rsidP="002606B1">
      <w:pPr>
        <w:pStyle w:val="QRCbodytext"/>
      </w:pPr>
      <w:r w:rsidRPr="00C42B44">
        <w:t>This document is designed to assist the engagement team with do</w:t>
      </w:r>
      <w:bookmarkStart w:id="2" w:name="_GoBack"/>
      <w:bookmarkEnd w:id="2"/>
      <w:r w:rsidRPr="00C42B44">
        <w:t xml:space="preserve">cumenting the procedures performed on data used in KPMG Clara’s </w:t>
      </w:r>
      <w:r>
        <w:t>A</w:t>
      </w:r>
      <w:r w:rsidRPr="00C42B44">
        <w:t xml:space="preserve">dvanced </w:t>
      </w:r>
      <w:r>
        <w:t>C</w:t>
      </w:r>
      <w:r w:rsidRPr="00C42B44">
        <w:t>apabilities.</w:t>
      </w:r>
    </w:p>
    <w:p w:rsidR="002606B1" w:rsidRPr="00C42B44" w:rsidRDefault="002606B1" w:rsidP="002606B1">
      <w:pPr>
        <w:pStyle w:val="QRCboldsub-title"/>
      </w:pPr>
      <w:bookmarkStart w:id="3" w:name="_Toc453227624"/>
      <w:r w:rsidRPr="00C42B44">
        <w:t>Applicability</w:t>
      </w:r>
      <w:bookmarkEnd w:id="3"/>
    </w:p>
    <w:p w:rsidR="002606B1" w:rsidRPr="00C42B44" w:rsidRDefault="002606B1" w:rsidP="002606B1">
      <w:pPr>
        <w:pStyle w:val="QRCbodytext"/>
      </w:pPr>
      <w:r w:rsidRPr="00C42B44">
        <w:t>This document is applicable for all eAudIT workflows when</w:t>
      </w:r>
      <w:bookmarkStart w:id="4" w:name="OLE_LINK1"/>
      <w:bookmarkStart w:id="5" w:name="OLE_LINK2"/>
      <w:r w:rsidRPr="00C42B44">
        <w:t xml:space="preserve"> KPMG Clara is used. Once completed, this document is attac</w:t>
      </w:r>
      <w:r>
        <w:t xml:space="preserve">hed to eAudIT activity 2.9.10 </w:t>
      </w:r>
      <w:r w:rsidRPr="00EC55E1">
        <w:rPr>
          <w:i/>
        </w:rPr>
        <w:t>Data and Analytics capabilities</w:t>
      </w:r>
      <w:r w:rsidRPr="00C42B44">
        <w:t xml:space="preserve">. This document is specifically for use when </w:t>
      </w:r>
      <w:r>
        <w:t>A</w:t>
      </w:r>
      <w:r w:rsidRPr="00C42B44">
        <w:t xml:space="preserve">dvanced </w:t>
      </w:r>
      <w:r>
        <w:t>C</w:t>
      </w:r>
      <w:r w:rsidRPr="00C42B44">
        <w:t xml:space="preserve">apabilities are performed through KPMG Clara. When any CAATs are used in the audit, the engagement team should document those procedures in accordance with the requirements included in KAM Topic 15, </w:t>
      </w:r>
      <w:r w:rsidRPr="00C42B44">
        <w:rPr>
          <w:i/>
        </w:rPr>
        <w:t>Computer assisted audit techniques</w:t>
      </w:r>
      <w:r>
        <w:t>.</w:t>
      </w:r>
    </w:p>
    <w:p w:rsidR="002606B1" w:rsidRPr="00C42B44" w:rsidRDefault="002606B1" w:rsidP="002606B1">
      <w:pPr>
        <w:pStyle w:val="QRCbodytext"/>
      </w:pPr>
      <w:r w:rsidRPr="00C42B44">
        <w:t>This document includes the following sections:</w:t>
      </w:r>
    </w:p>
    <w:bookmarkEnd w:id="4"/>
    <w:bookmarkEnd w:id="5"/>
    <w:p w:rsidR="002606B1" w:rsidRPr="00C42B44" w:rsidRDefault="002606B1" w:rsidP="002606B1">
      <w:pPr>
        <w:pStyle w:val="QRCbodytext"/>
        <w:numPr>
          <w:ilvl w:val="0"/>
          <w:numId w:val="3"/>
        </w:numPr>
      </w:pPr>
      <w:r>
        <w:t>Data pre-processing</w:t>
      </w:r>
    </w:p>
    <w:p w:rsidR="002606B1" w:rsidRPr="00C42B44" w:rsidRDefault="002606B1" w:rsidP="002606B1">
      <w:pPr>
        <w:pStyle w:val="QRCbodytext"/>
        <w:numPr>
          <w:ilvl w:val="0"/>
          <w:numId w:val="3"/>
        </w:numPr>
      </w:pPr>
      <w:r w:rsidRPr="00C42B44">
        <w:t>Data file details</w:t>
      </w:r>
    </w:p>
    <w:p w:rsidR="002606B1" w:rsidRPr="00C42B44" w:rsidRDefault="002606B1" w:rsidP="002606B1">
      <w:pPr>
        <w:pStyle w:val="QRCbodytext"/>
        <w:numPr>
          <w:ilvl w:val="0"/>
          <w:numId w:val="3"/>
        </w:numPr>
      </w:pPr>
      <w:r w:rsidRPr="00C42B44">
        <w:t>Import data verification</w:t>
      </w:r>
    </w:p>
    <w:p w:rsidR="002606B1" w:rsidRPr="00C42B44" w:rsidRDefault="002606B1" w:rsidP="002606B1">
      <w:pPr>
        <w:pStyle w:val="QRCbodytext"/>
        <w:rPr>
          <w:rFonts w:eastAsia="Calibri"/>
        </w:rPr>
      </w:pPr>
      <w:r w:rsidRPr="00C42B44">
        <w:t xml:space="preserve">This document is to be used to document procedures performed over the underlying data used in the operation of an </w:t>
      </w:r>
      <w:r>
        <w:t>A</w:t>
      </w:r>
      <w:r w:rsidRPr="00C42B44">
        <w:t xml:space="preserve">dvanced </w:t>
      </w:r>
      <w:r>
        <w:t>C</w:t>
      </w:r>
      <w:r w:rsidRPr="00C42B44">
        <w:t xml:space="preserve">apability within KPMG Clara and is not to be used to document procedures performed with </w:t>
      </w:r>
      <w:r>
        <w:t>A</w:t>
      </w:r>
      <w:r w:rsidRPr="00C42B44">
        <w:t xml:space="preserve">dvanced </w:t>
      </w:r>
      <w:r>
        <w:t>C</w:t>
      </w:r>
      <w:r w:rsidRPr="00C42B44">
        <w:t>apabilities within KPMG Clara or the resul</w:t>
      </w:r>
      <w:r>
        <w:t>ts of the procedures performed.</w:t>
      </w:r>
    </w:p>
    <w:p w:rsidR="002606B1" w:rsidRPr="00C42B44" w:rsidRDefault="002606B1" w:rsidP="002606B1">
      <w:pPr>
        <w:pStyle w:val="QRCbodytext"/>
      </w:pPr>
      <w:r w:rsidRPr="00C42B44">
        <w:t xml:space="preserve">Throughout this document, the text that appears in brackets </w:t>
      </w:r>
      <w:proofErr w:type="gramStart"/>
      <w:r w:rsidRPr="00C42B44">
        <w:t>[ ]</w:t>
      </w:r>
      <w:proofErr w:type="gramEnd"/>
      <w:r w:rsidRPr="00C42B44">
        <w:t xml:space="preserve"> represents guidance text to be updated by the engagement team to reflect the actual procedures performed. Certain sections of this document may not be relevant to the engagement. When a section is considered not relevant to a </w:t>
      </w:r>
      <w:proofErr w:type="gramStart"/>
      <w:r w:rsidRPr="00C42B44">
        <w:t>particular engagement</w:t>
      </w:r>
      <w:proofErr w:type="gramEnd"/>
      <w:r w:rsidRPr="00C42B44">
        <w:t>, the reason(s) supporting that determination is (are) documented herein, if appropriate. The section itself is not deleted from this document.</w:t>
      </w:r>
    </w:p>
    <w:tbl>
      <w:tblPr>
        <w:tblW w:w="5000" w:type="pct"/>
        <w:tblCellMar>
          <w:left w:w="45" w:type="dxa"/>
          <w:right w:w="45" w:type="dxa"/>
        </w:tblCellMar>
        <w:tblLook w:val="0000" w:firstRow="0" w:lastRow="0" w:firstColumn="0" w:lastColumn="0" w:noHBand="0" w:noVBand="0"/>
      </w:tblPr>
      <w:tblGrid>
        <w:gridCol w:w="4903"/>
        <w:gridCol w:w="4447"/>
      </w:tblGrid>
      <w:tr w:rsidR="002606B1" w:rsidRPr="00C42B44" w:rsidTr="00931423">
        <w:trPr>
          <w:trHeight w:val="720"/>
        </w:trPr>
        <w:tc>
          <w:tcPr>
            <w:tcW w:w="2622" w:type="pct"/>
            <w:tcBorders>
              <w:top w:val="single" w:sz="4" w:space="0" w:color="auto"/>
              <w:left w:val="single" w:sz="4" w:space="0" w:color="auto"/>
              <w:bottom w:val="single" w:sz="4" w:space="0" w:color="auto"/>
              <w:right w:val="single" w:sz="4" w:space="0" w:color="auto"/>
            </w:tcBorders>
            <w:vAlign w:val="bottom"/>
          </w:tcPr>
          <w:p w:rsidR="002606B1" w:rsidRPr="00C42B44" w:rsidRDefault="002606B1" w:rsidP="00931423">
            <w:pPr>
              <w:pStyle w:val="QRCbodytext"/>
              <w:rPr>
                <w:noProof/>
              </w:rPr>
            </w:pPr>
            <w:bookmarkStart w:id="6" w:name="_Toc451313319"/>
            <w:bookmarkStart w:id="7" w:name="_Toc451341906"/>
            <w:bookmarkStart w:id="8" w:name="_Toc451504085"/>
            <w:bookmarkStart w:id="9" w:name="_Toc451504150"/>
            <w:bookmarkStart w:id="10" w:name="_Toc451504216"/>
            <w:bookmarkStart w:id="11" w:name="_Toc452107263"/>
            <w:bookmarkStart w:id="12" w:name="_Toc452107314"/>
            <w:bookmarkStart w:id="13" w:name="_Toc452107385"/>
            <w:bookmarkStart w:id="14" w:name="_Toc452201293"/>
            <w:bookmarkStart w:id="15" w:name="_Toc452531347"/>
            <w:bookmarkStart w:id="16" w:name="_Toc452538487"/>
            <w:bookmarkStart w:id="17" w:name="_Toc452538547"/>
            <w:bookmarkStart w:id="18" w:name="_Toc452541620"/>
            <w:bookmarkStart w:id="19" w:name="_Toc451313320"/>
            <w:bookmarkStart w:id="20" w:name="_Toc451341907"/>
            <w:bookmarkStart w:id="21" w:name="_Toc451504086"/>
            <w:bookmarkStart w:id="22" w:name="_Toc451504151"/>
            <w:bookmarkStart w:id="23" w:name="_Toc451504217"/>
            <w:bookmarkStart w:id="24" w:name="_Toc452107264"/>
            <w:bookmarkStart w:id="25" w:name="_Toc452107315"/>
            <w:bookmarkStart w:id="26" w:name="_Toc452107386"/>
            <w:bookmarkStart w:id="27" w:name="_Toc452201294"/>
            <w:bookmarkStart w:id="28" w:name="_Toc452531348"/>
            <w:bookmarkStart w:id="29" w:name="_Toc452538488"/>
            <w:bookmarkStart w:id="30" w:name="_Toc452538548"/>
            <w:bookmarkStart w:id="31" w:name="_Toc452541621"/>
            <w:bookmarkStart w:id="32" w:name="_Toc451313321"/>
            <w:bookmarkStart w:id="33" w:name="_Toc451341908"/>
            <w:bookmarkStart w:id="34" w:name="_Toc451504087"/>
            <w:bookmarkStart w:id="35" w:name="_Toc451504152"/>
            <w:bookmarkStart w:id="36" w:name="_Toc451504218"/>
            <w:bookmarkStart w:id="37" w:name="_Toc452107265"/>
            <w:bookmarkStart w:id="38" w:name="_Toc452107316"/>
            <w:bookmarkStart w:id="39" w:name="_Toc452107387"/>
            <w:bookmarkStart w:id="40" w:name="_Toc452201295"/>
            <w:bookmarkStart w:id="41" w:name="_Toc452531349"/>
            <w:bookmarkStart w:id="42" w:name="_Toc452538489"/>
            <w:bookmarkStart w:id="43" w:name="_Toc452538549"/>
            <w:bookmarkStart w:id="44" w:name="_Toc452541622"/>
            <w:bookmarkStart w:id="45" w:name="_Toc451313322"/>
            <w:bookmarkStart w:id="46" w:name="_Toc451341909"/>
            <w:bookmarkStart w:id="47" w:name="_Toc451504088"/>
            <w:bookmarkStart w:id="48" w:name="_Toc451504153"/>
            <w:bookmarkStart w:id="49" w:name="_Toc451504219"/>
            <w:bookmarkStart w:id="50" w:name="_Toc452107266"/>
            <w:bookmarkStart w:id="51" w:name="_Toc452107317"/>
            <w:bookmarkStart w:id="52" w:name="_Toc452107388"/>
            <w:bookmarkStart w:id="53" w:name="_Toc452201296"/>
            <w:bookmarkStart w:id="54" w:name="_Toc452531350"/>
            <w:bookmarkStart w:id="55" w:name="_Toc452538490"/>
            <w:bookmarkStart w:id="56" w:name="_Toc452538550"/>
            <w:bookmarkStart w:id="57" w:name="_Toc452541623"/>
            <w:bookmarkStart w:id="58" w:name="_Toc451313323"/>
            <w:bookmarkStart w:id="59" w:name="_Toc451341910"/>
            <w:bookmarkStart w:id="60" w:name="_Toc451504089"/>
            <w:bookmarkStart w:id="61" w:name="_Toc451504154"/>
            <w:bookmarkStart w:id="62" w:name="_Toc451504220"/>
            <w:bookmarkStart w:id="63" w:name="_Toc452107267"/>
            <w:bookmarkStart w:id="64" w:name="_Toc452107318"/>
            <w:bookmarkStart w:id="65" w:name="_Toc452107389"/>
            <w:bookmarkStart w:id="66" w:name="_Toc452201297"/>
            <w:bookmarkStart w:id="67" w:name="_Toc452531351"/>
            <w:bookmarkStart w:id="68" w:name="_Toc452538491"/>
            <w:bookmarkStart w:id="69" w:name="_Toc452538551"/>
            <w:bookmarkStart w:id="70" w:name="_Toc452541624"/>
            <w:bookmarkStart w:id="71" w:name="_Toc451313324"/>
            <w:bookmarkStart w:id="72" w:name="_Toc451341911"/>
            <w:bookmarkStart w:id="73" w:name="_Toc451504090"/>
            <w:bookmarkStart w:id="74" w:name="_Toc451504155"/>
            <w:bookmarkStart w:id="75" w:name="_Toc451504221"/>
            <w:bookmarkStart w:id="76" w:name="_Toc452107268"/>
            <w:bookmarkStart w:id="77" w:name="_Toc452107319"/>
            <w:bookmarkStart w:id="78" w:name="_Toc452107390"/>
            <w:bookmarkStart w:id="79" w:name="_Toc452201298"/>
            <w:bookmarkStart w:id="80" w:name="_Toc452531352"/>
            <w:bookmarkStart w:id="81" w:name="_Toc452538492"/>
            <w:bookmarkStart w:id="82" w:name="_Toc452538552"/>
            <w:bookmarkStart w:id="83" w:name="_Toc452541625"/>
            <w:bookmarkStart w:id="84" w:name="_Toc451313325"/>
            <w:bookmarkStart w:id="85" w:name="_Toc451341912"/>
            <w:bookmarkStart w:id="86" w:name="_Toc451504091"/>
            <w:bookmarkStart w:id="87" w:name="_Toc451504156"/>
            <w:bookmarkStart w:id="88" w:name="_Toc451504222"/>
            <w:bookmarkStart w:id="89" w:name="_Toc452107269"/>
            <w:bookmarkStart w:id="90" w:name="_Toc452107320"/>
            <w:bookmarkStart w:id="91" w:name="_Toc452107391"/>
            <w:bookmarkStart w:id="92" w:name="_Toc452201299"/>
            <w:bookmarkStart w:id="93" w:name="_Toc452531353"/>
            <w:bookmarkStart w:id="94" w:name="_Toc452538493"/>
            <w:bookmarkStart w:id="95" w:name="_Toc452538553"/>
            <w:bookmarkStart w:id="96" w:name="_Toc452541626"/>
            <w:bookmarkStart w:id="97" w:name="_Toc451313326"/>
            <w:bookmarkStart w:id="98" w:name="_Toc451341913"/>
            <w:bookmarkStart w:id="99" w:name="_Toc451504092"/>
            <w:bookmarkStart w:id="100" w:name="_Toc451504157"/>
            <w:bookmarkStart w:id="101" w:name="_Toc451504223"/>
            <w:bookmarkStart w:id="102" w:name="_Toc452107270"/>
            <w:bookmarkStart w:id="103" w:name="_Toc452107321"/>
            <w:bookmarkStart w:id="104" w:name="_Toc452107392"/>
            <w:bookmarkStart w:id="105" w:name="_Toc452201300"/>
            <w:bookmarkStart w:id="106" w:name="_Toc452531354"/>
            <w:bookmarkStart w:id="107" w:name="_Toc452538494"/>
            <w:bookmarkStart w:id="108" w:name="_Toc452538554"/>
            <w:bookmarkStart w:id="109" w:name="_Toc452541627"/>
            <w:bookmarkStart w:id="110" w:name="_Toc451313327"/>
            <w:bookmarkStart w:id="111" w:name="_Toc451341914"/>
            <w:bookmarkStart w:id="112" w:name="_Toc451504093"/>
            <w:bookmarkStart w:id="113" w:name="_Toc451504158"/>
            <w:bookmarkStart w:id="114" w:name="_Toc451504224"/>
            <w:bookmarkStart w:id="115" w:name="_Toc452107271"/>
            <w:bookmarkStart w:id="116" w:name="_Toc452107322"/>
            <w:bookmarkStart w:id="117" w:name="_Toc452107393"/>
            <w:bookmarkStart w:id="118" w:name="_Toc452201301"/>
            <w:bookmarkStart w:id="119" w:name="_Toc452531355"/>
            <w:bookmarkStart w:id="120" w:name="_Toc452538495"/>
            <w:bookmarkStart w:id="121" w:name="_Toc452538555"/>
            <w:bookmarkStart w:id="122" w:name="_Toc452541628"/>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r w:rsidRPr="00C42B44">
              <w:rPr>
                <w:noProof/>
              </w:rPr>
              <w:t xml:space="preserve">Prepared by: </w:t>
            </w:r>
            <w:r w:rsidRPr="00C42B44">
              <w:fldChar w:fldCharType="begin" w:fldLock="1">
                <w:ffData>
                  <w:name w:val="Text1"/>
                  <w:enabled/>
                  <w:calcOnExit w:val="0"/>
                  <w:textInput/>
                </w:ffData>
              </w:fldChar>
            </w:r>
            <w:r w:rsidRPr="00C42B44">
              <w:instrText xml:space="preserve"> FORMTEXT </w:instrText>
            </w:r>
            <w:r w:rsidRPr="00C42B44">
              <w:fldChar w:fldCharType="separate"/>
            </w:r>
            <w:r w:rsidRPr="00C42B44">
              <w:rPr>
                <w:noProof/>
              </w:rPr>
              <w:t> </w:t>
            </w:r>
            <w:r w:rsidRPr="00C42B44">
              <w:rPr>
                <w:noProof/>
              </w:rPr>
              <w:t> </w:t>
            </w:r>
            <w:r w:rsidRPr="00C42B44">
              <w:rPr>
                <w:noProof/>
              </w:rPr>
              <w:t> </w:t>
            </w:r>
            <w:r w:rsidRPr="00C42B44">
              <w:rPr>
                <w:noProof/>
              </w:rPr>
              <w:t> </w:t>
            </w:r>
            <w:r w:rsidRPr="00C42B44">
              <w:rPr>
                <w:noProof/>
              </w:rPr>
              <w:t> </w:t>
            </w:r>
            <w:r w:rsidRPr="00C42B44">
              <w:fldChar w:fldCharType="end"/>
            </w:r>
            <w:bookmarkStart w:id="123" w:name="_Toc451313328"/>
            <w:bookmarkStart w:id="124" w:name="_Toc451341915"/>
            <w:bookmarkStart w:id="125" w:name="_Toc451504094"/>
            <w:bookmarkStart w:id="126" w:name="_Toc451504159"/>
            <w:bookmarkStart w:id="127" w:name="_Toc451504225"/>
            <w:bookmarkStart w:id="128" w:name="_Toc452107272"/>
            <w:bookmarkStart w:id="129" w:name="_Toc452107323"/>
            <w:bookmarkStart w:id="130" w:name="_Toc452107394"/>
            <w:bookmarkStart w:id="131" w:name="_Toc452201302"/>
            <w:bookmarkStart w:id="132" w:name="_Toc452531356"/>
            <w:bookmarkStart w:id="133" w:name="_Toc452538496"/>
            <w:bookmarkStart w:id="134" w:name="_Toc452538556"/>
            <w:bookmarkStart w:id="135" w:name="_Toc452541629"/>
            <w:bookmarkEnd w:id="123"/>
            <w:bookmarkEnd w:id="124"/>
            <w:bookmarkEnd w:id="125"/>
            <w:bookmarkEnd w:id="126"/>
            <w:bookmarkEnd w:id="127"/>
            <w:bookmarkEnd w:id="128"/>
            <w:bookmarkEnd w:id="129"/>
            <w:bookmarkEnd w:id="130"/>
            <w:bookmarkEnd w:id="131"/>
            <w:bookmarkEnd w:id="132"/>
            <w:bookmarkEnd w:id="133"/>
            <w:bookmarkEnd w:id="134"/>
            <w:bookmarkEnd w:id="135"/>
            <w:r w:rsidRPr="00C42B44">
              <w:rPr>
                <w:noProof/>
              </w:rPr>
              <w:t xml:space="preserve"> </w:t>
            </w:r>
          </w:p>
        </w:tc>
        <w:tc>
          <w:tcPr>
            <w:tcW w:w="2378" w:type="pct"/>
            <w:tcBorders>
              <w:top w:val="single" w:sz="4" w:space="0" w:color="auto"/>
              <w:left w:val="single" w:sz="4" w:space="0" w:color="auto"/>
              <w:bottom w:val="single" w:sz="4" w:space="0" w:color="auto"/>
              <w:right w:val="single" w:sz="4" w:space="0" w:color="auto"/>
            </w:tcBorders>
            <w:vAlign w:val="bottom"/>
          </w:tcPr>
          <w:p w:rsidR="002606B1" w:rsidRPr="00C42B44" w:rsidRDefault="002606B1" w:rsidP="00931423">
            <w:pPr>
              <w:pStyle w:val="QRCbodytext"/>
              <w:rPr>
                <w:noProof/>
              </w:rPr>
            </w:pPr>
            <w:r w:rsidRPr="00C42B44">
              <w:rPr>
                <w:noProof/>
              </w:rPr>
              <w:t xml:space="preserve">Date: </w:t>
            </w:r>
            <w:r w:rsidRPr="00C42B44">
              <w:fldChar w:fldCharType="begin" w:fldLock="1">
                <w:ffData>
                  <w:name w:val="Text1"/>
                  <w:enabled/>
                  <w:calcOnExit w:val="0"/>
                  <w:textInput/>
                </w:ffData>
              </w:fldChar>
            </w:r>
            <w:r w:rsidRPr="00C42B44">
              <w:instrText xml:space="preserve"> FORMTEXT </w:instrText>
            </w:r>
            <w:r w:rsidRPr="00C42B44">
              <w:fldChar w:fldCharType="separate"/>
            </w:r>
            <w:r w:rsidRPr="00C42B44">
              <w:rPr>
                <w:noProof/>
              </w:rPr>
              <w:t> </w:t>
            </w:r>
            <w:r w:rsidRPr="00C42B44">
              <w:rPr>
                <w:noProof/>
              </w:rPr>
              <w:t> </w:t>
            </w:r>
            <w:r w:rsidRPr="00C42B44">
              <w:rPr>
                <w:noProof/>
              </w:rPr>
              <w:t> </w:t>
            </w:r>
            <w:r w:rsidRPr="00C42B44">
              <w:rPr>
                <w:noProof/>
              </w:rPr>
              <w:t> </w:t>
            </w:r>
            <w:r w:rsidRPr="00C42B44">
              <w:rPr>
                <w:noProof/>
              </w:rPr>
              <w:t> </w:t>
            </w:r>
            <w:r w:rsidRPr="00C42B44">
              <w:fldChar w:fldCharType="end"/>
            </w:r>
            <w:bookmarkStart w:id="136" w:name="_Toc451313329"/>
            <w:bookmarkStart w:id="137" w:name="_Toc451341916"/>
            <w:bookmarkStart w:id="138" w:name="_Toc451504095"/>
            <w:bookmarkStart w:id="139" w:name="_Toc451504160"/>
            <w:bookmarkStart w:id="140" w:name="_Toc451504226"/>
            <w:bookmarkStart w:id="141" w:name="_Toc452107273"/>
            <w:bookmarkStart w:id="142" w:name="_Toc452107324"/>
            <w:bookmarkStart w:id="143" w:name="_Toc452107395"/>
            <w:bookmarkStart w:id="144" w:name="_Toc452201303"/>
            <w:bookmarkStart w:id="145" w:name="_Toc452531357"/>
            <w:bookmarkStart w:id="146" w:name="_Toc452538497"/>
            <w:bookmarkStart w:id="147" w:name="_Toc452538557"/>
            <w:bookmarkStart w:id="148" w:name="_Toc452541630"/>
            <w:bookmarkEnd w:id="136"/>
            <w:bookmarkEnd w:id="137"/>
            <w:bookmarkEnd w:id="138"/>
            <w:bookmarkEnd w:id="139"/>
            <w:bookmarkEnd w:id="140"/>
            <w:bookmarkEnd w:id="141"/>
            <w:bookmarkEnd w:id="142"/>
            <w:bookmarkEnd w:id="143"/>
            <w:bookmarkEnd w:id="144"/>
            <w:bookmarkEnd w:id="145"/>
            <w:bookmarkEnd w:id="146"/>
            <w:bookmarkEnd w:id="147"/>
            <w:bookmarkEnd w:id="148"/>
          </w:p>
        </w:tc>
        <w:bookmarkStart w:id="149" w:name="_Toc451313330"/>
        <w:bookmarkStart w:id="150" w:name="_Toc451341917"/>
        <w:bookmarkStart w:id="151" w:name="_Toc451504096"/>
        <w:bookmarkStart w:id="152" w:name="_Toc451504161"/>
        <w:bookmarkStart w:id="153" w:name="_Toc451504227"/>
        <w:bookmarkStart w:id="154" w:name="_Toc452107274"/>
        <w:bookmarkStart w:id="155" w:name="_Toc452107325"/>
        <w:bookmarkStart w:id="156" w:name="_Toc452107396"/>
        <w:bookmarkStart w:id="157" w:name="_Toc452201304"/>
        <w:bookmarkStart w:id="158" w:name="_Toc452531358"/>
        <w:bookmarkStart w:id="159" w:name="_Toc452538498"/>
        <w:bookmarkStart w:id="160" w:name="_Toc452538558"/>
        <w:bookmarkStart w:id="161" w:name="_Toc452541631"/>
        <w:bookmarkEnd w:id="149"/>
        <w:bookmarkEnd w:id="150"/>
        <w:bookmarkEnd w:id="151"/>
        <w:bookmarkEnd w:id="152"/>
        <w:bookmarkEnd w:id="153"/>
        <w:bookmarkEnd w:id="154"/>
        <w:bookmarkEnd w:id="155"/>
        <w:bookmarkEnd w:id="156"/>
        <w:bookmarkEnd w:id="157"/>
        <w:bookmarkEnd w:id="158"/>
        <w:bookmarkEnd w:id="159"/>
        <w:bookmarkEnd w:id="160"/>
        <w:bookmarkEnd w:id="161"/>
      </w:tr>
      <w:tr w:rsidR="002606B1" w:rsidRPr="00C42B44" w:rsidTr="00931423">
        <w:trPr>
          <w:trHeight w:val="692"/>
        </w:trPr>
        <w:tc>
          <w:tcPr>
            <w:tcW w:w="2622" w:type="pct"/>
            <w:tcBorders>
              <w:top w:val="single" w:sz="4" w:space="0" w:color="auto"/>
              <w:left w:val="single" w:sz="4" w:space="0" w:color="auto"/>
              <w:bottom w:val="single" w:sz="4" w:space="0" w:color="auto"/>
              <w:right w:val="single" w:sz="4" w:space="0" w:color="auto"/>
            </w:tcBorders>
            <w:vAlign w:val="bottom"/>
          </w:tcPr>
          <w:p w:rsidR="002606B1" w:rsidRPr="00C42B44" w:rsidRDefault="002606B1" w:rsidP="00931423">
            <w:pPr>
              <w:pStyle w:val="QRCbodytext"/>
              <w:rPr>
                <w:noProof/>
              </w:rPr>
            </w:pPr>
            <w:r w:rsidRPr="00C42B44">
              <w:rPr>
                <w:noProof/>
              </w:rPr>
              <w:t xml:space="preserve">Reviewed by: </w:t>
            </w:r>
            <w:r w:rsidRPr="00C42B44">
              <w:fldChar w:fldCharType="begin" w:fldLock="1">
                <w:ffData>
                  <w:name w:val="Text1"/>
                  <w:enabled/>
                  <w:calcOnExit w:val="0"/>
                  <w:textInput/>
                </w:ffData>
              </w:fldChar>
            </w:r>
            <w:r w:rsidRPr="00C42B44">
              <w:instrText xml:space="preserve"> FORMTEXT </w:instrText>
            </w:r>
            <w:r w:rsidRPr="00C42B44">
              <w:fldChar w:fldCharType="separate"/>
            </w:r>
            <w:r w:rsidRPr="00C42B44">
              <w:rPr>
                <w:noProof/>
              </w:rPr>
              <w:t> </w:t>
            </w:r>
            <w:r w:rsidRPr="00C42B44">
              <w:rPr>
                <w:noProof/>
              </w:rPr>
              <w:t> </w:t>
            </w:r>
            <w:r w:rsidRPr="00C42B44">
              <w:rPr>
                <w:noProof/>
              </w:rPr>
              <w:t> </w:t>
            </w:r>
            <w:r w:rsidRPr="00C42B44">
              <w:rPr>
                <w:noProof/>
              </w:rPr>
              <w:t> </w:t>
            </w:r>
            <w:r w:rsidRPr="00C42B44">
              <w:rPr>
                <w:noProof/>
              </w:rPr>
              <w:t> </w:t>
            </w:r>
            <w:r w:rsidRPr="00C42B44">
              <w:fldChar w:fldCharType="end"/>
            </w:r>
            <w:bookmarkStart w:id="162" w:name="_Toc451313331"/>
            <w:bookmarkStart w:id="163" w:name="_Toc451341918"/>
            <w:bookmarkStart w:id="164" w:name="_Toc451504097"/>
            <w:bookmarkStart w:id="165" w:name="_Toc451504162"/>
            <w:bookmarkStart w:id="166" w:name="_Toc451504228"/>
            <w:bookmarkStart w:id="167" w:name="_Toc452107275"/>
            <w:bookmarkStart w:id="168" w:name="_Toc452107326"/>
            <w:bookmarkStart w:id="169" w:name="_Toc452107397"/>
            <w:bookmarkStart w:id="170" w:name="_Toc452201305"/>
            <w:bookmarkStart w:id="171" w:name="_Toc452531359"/>
            <w:bookmarkStart w:id="172" w:name="_Toc452538499"/>
            <w:bookmarkStart w:id="173" w:name="_Toc452538559"/>
            <w:bookmarkStart w:id="174" w:name="_Toc452541632"/>
            <w:bookmarkEnd w:id="162"/>
            <w:bookmarkEnd w:id="163"/>
            <w:bookmarkEnd w:id="164"/>
            <w:bookmarkEnd w:id="165"/>
            <w:bookmarkEnd w:id="166"/>
            <w:bookmarkEnd w:id="167"/>
            <w:bookmarkEnd w:id="168"/>
            <w:bookmarkEnd w:id="169"/>
            <w:bookmarkEnd w:id="170"/>
            <w:bookmarkEnd w:id="171"/>
            <w:bookmarkEnd w:id="172"/>
            <w:bookmarkEnd w:id="173"/>
            <w:bookmarkEnd w:id="174"/>
          </w:p>
        </w:tc>
        <w:tc>
          <w:tcPr>
            <w:tcW w:w="2378" w:type="pct"/>
            <w:tcBorders>
              <w:top w:val="single" w:sz="4" w:space="0" w:color="auto"/>
              <w:left w:val="single" w:sz="4" w:space="0" w:color="auto"/>
              <w:bottom w:val="single" w:sz="4" w:space="0" w:color="auto"/>
              <w:right w:val="single" w:sz="4" w:space="0" w:color="auto"/>
            </w:tcBorders>
            <w:vAlign w:val="bottom"/>
          </w:tcPr>
          <w:p w:rsidR="002606B1" w:rsidRPr="00C42B44" w:rsidRDefault="002606B1" w:rsidP="00931423">
            <w:pPr>
              <w:pStyle w:val="QRCbodytext"/>
              <w:rPr>
                <w:noProof/>
              </w:rPr>
            </w:pPr>
            <w:r w:rsidRPr="00C42B44">
              <w:rPr>
                <w:noProof/>
              </w:rPr>
              <w:t xml:space="preserve">Date: </w:t>
            </w:r>
            <w:r w:rsidRPr="00C42B44">
              <w:fldChar w:fldCharType="begin" w:fldLock="1">
                <w:ffData>
                  <w:name w:val="Text1"/>
                  <w:enabled/>
                  <w:calcOnExit w:val="0"/>
                  <w:textInput/>
                </w:ffData>
              </w:fldChar>
            </w:r>
            <w:r w:rsidRPr="00C42B44">
              <w:instrText xml:space="preserve"> FORMTEXT </w:instrText>
            </w:r>
            <w:r w:rsidRPr="00C42B44">
              <w:fldChar w:fldCharType="separate"/>
            </w:r>
            <w:r w:rsidRPr="00C42B44">
              <w:rPr>
                <w:noProof/>
              </w:rPr>
              <w:t> </w:t>
            </w:r>
            <w:r w:rsidRPr="00C42B44">
              <w:rPr>
                <w:noProof/>
              </w:rPr>
              <w:t> </w:t>
            </w:r>
            <w:r w:rsidRPr="00C42B44">
              <w:rPr>
                <w:noProof/>
              </w:rPr>
              <w:t> </w:t>
            </w:r>
            <w:r w:rsidRPr="00C42B44">
              <w:rPr>
                <w:noProof/>
              </w:rPr>
              <w:t> </w:t>
            </w:r>
            <w:r w:rsidRPr="00C42B44">
              <w:rPr>
                <w:noProof/>
              </w:rPr>
              <w:t> </w:t>
            </w:r>
            <w:r w:rsidRPr="00C42B44">
              <w:fldChar w:fldCharType="end"/>
            </w:r>
            <w:bookmarkStart w:id="175" w:name="_Toc451313332"/>
            <w:bookmarkStart w:id="176" w:name="_Toc451341919"/>
            <w:bookmarkStart w:id="177" w:name="_Toc451504098"/>
            <w:bookmarkStart w:id="178" w:name="_Toc451504163"/>
            <w:bookmarkStart w:id="179" w:name="_Toc451504229"/>
            <w:bookmarkStart w:id="180" w:name="_Toc452107276"/>
            <w:bookmarkStart w:id="181" w:name="_Toc452107327"/>
            <w:bookmarkStart w:id="182" w:name="_Toc452107398"/>
            <w:bookmarkStart w:id="183" w:name="_Toc452201306"/>
            <w:bookmarkStart w:id="184" w:name="_Toc452531360"/>
            <w:bookmarkStart w:id="185" w:name="_Toc452538500"/>
            <w:bookmarkStart w:id="186" w:name="_Toc452538560"/>
            <w:bookmarkStart w:id="187" w:name="_Toc452541633"/>
            <w:bookmarkEnd w:id="175"/>
            <w:bookmarkEnd w:id="176"/>
            <w:bookmarkEnd w:id="177"/>
            <w:bookmarkEnd w:id="178"/>
            <w:bookmarkEnd w:id="179"/>
            <w:bookmarkEnd w:id="180"/>
            <w:bookmarkEnd w:id="181"/>
            <w:bookmarkEnd w:id="182"/>
            <w:bookmarkEnd w:id="183"/>
            <w:bookmarkEnd w:id="184"/>
            <w:bookmarkEnd w:id="185"/>
            <w:bookmarkEnd w:id="186"/>
            <w:bookmarkEnd w:id="187"/>
          </w:p>
        </w:tc>
        <w:bookmarkStart w:id="188" w:name="_Toc451313333"/>
        <w:bookmarkStart w:id="189" w:name="_Toc451341920"/>
        <w:bookmarkStart w:id="190" w:name="_Toc451504099"/>
        <w:bookmarkStart w:id="191" w:name="_Toc451504164"/>
        <w:bookmarkStart w:id="192" w:name="_Toc451504230"/>
        <w:bookmarkStart w:id="193" w:name="_Toc452107277"/>
        <w:bookmarkStart w:id="194" w:name="_Toc452107328"/>
        <w:bookmarkStart w:id="195" w:name="_Toc452107399"/>
        <w:bookmarkStart w:id="196" w:name="_Toc452201307"/>
        <w:bookmarkStart w:id="197" w:name="_Toc452531361"/>
        <w:bookmarkStart w:id="198" w:name="_Toc452538501"/>
        <w:bookmarkStart w:id="199" w:name="_Toc452538561"/>
        <w:bookmarkStart w:id="200" w:name="_Toc452541634"/>
        <w:bookmarkEnd w:id="188"/>
        <w:bookmarkEnd w:id="189"/>
        <w:bookmarkEnd w:id="190"/>
        <w:bookmarkEnd w:id="191"/>
        <w:bookmarkEnd w:id="192"/>
        <w:bookmarkEnd w:id="193"/>
        <w:bookmarkEnd w:id="194"/>
        <w:bookmarkEnd w:id="195"/>
        <w:bookmarkEnd w:id="196"/>
        <w:bookmarkEnd w:id="197"/>
        <w:bookmarkEnd w:id="198"/>
        <w:bookmarkEnd w:id="199"/>
        <w:bookmarkEnd w:id="200"/>
      </w:tr>
      <w:tr w:rsidR="002606B1" w:rsidRPr="00C42B44" w:rsidTr="00931423">
        <w:trPr>
          <w:trHeight w:val="692"/>
        </w:trPr>
        <w:tc>
          <w:tcPr>
            <w:tcW w:w="2622" w:type="pct"/>
            <w:tcBorders>
              <w:top w:val="single" w:sz="4" w:space="0" w:color="auto"/>
              <w:left w:val="single" w:sz="4" w:space="0" w:color="auto"/>
              <w:bottom w:val="single" w:sz="4" w:space="0" w:color="auto"/>
              <w:right w:val="single" w:sz="4" w:space="0" w:color="auto"/>
            </w:tcBorders>
            <w:vAlign w:val="bottom"/>
          </w:tcPr>
          <w:p w:rsidR="002606B1" w:rsidRPr="00C42B44" w:rsidRDefault="002606B1" w:rsidP="00931423">
            <w:pPr>
              <w:pStyle w:val="QRCbodytext"/>
              <w:rPr>
                <w:noProof/>
              </w:rPr>
            </w:pPr>
            <w:r w:rsidRPr="00C42B44">
              <w:rPr>
                <w:noProof/>
              </w:rPr>
              <w:t xml:space="preserve">Reviewed by: </w:t>
            </w:r>
            <w:r w:rsidRPr="00C42B44">
              <w:fldChar w:fldCharType="begin" w:fldLock="1">
                <w:ffData>
                  <w:name w:val="Text1"/>
                  <w:enabled/>
                  <w:calcOnExit w:val="0"/>
                  <w:textInput/>
                </w:ffData>
              </w:fldChar>
            </w:r>
            <w:r w:rsidRPr="00C42B44">
              <w:instrText xml:space="preserve"> FORMTEXT </w:instrText>
            </w:r>
            <w:r w:rsidRPr="00C42B44">
              <w:fldChar w:fldCharType="separate"/>
            </w:r>
            <w:r w:rsidRPr="00C42B44">
              <w:rPr>
                <w:noProof/>
              </w:rPr>
              <w:t> </w:t>
            </w:r>
            <w:r w:rsidRPr="00C42B44">
              <w:rPr>
                <w:noProof/>
              </w:rPr>
              <w:t> </w:t>
            </w:r>
            <w:r w:rsidRPr="00C42B44">
              <w:rPr>
                <w:noProof/>
              </w:rPr>
              <w:t> </w:t>
            </w:r>
            <w:r w:rsidRPr="00C42B44">
              <w:rPr>
                <w:noProof/>
              </w:rPr>
              <w:t> </w:t>
            </w:r>
            <w:r w:rsidRPr="00C42B44">
              <w:rPr>
                <w:noProof/>
              </w:rPr>
              <w:t> </w:t>
            </w:r>
            <w:r w:rsidRPr="00C42B44">
              <w:fldChar w:fldCharType="end"/>
            </w:r>
            <w:bookmarkStart w:id="201" w:name="_Toc451313334"/>
            <w:bookmarkStart w:id="202" w:name="_Toc451341921"/>
            <w:bookmarkStart w:id="203" w:name="_Toc451504100"/>
            <w:bookmarkStart w:id="204" w:name="_Toc451504165"/>
            <w:bookmarkStart w:id="205" w:name="_Toc451504231"/>
            <w:bookmarkStart w:id="206" w:name="_Toc452107278"/>
            <w:bookmarkStart w:id="207" w:name="_Toc452107329"/>
            <w:bookmarkStart w:id="208" w:name="_Toc452107400"/>
            <w:bookmarkStart w:id="209" w:name="_Toc452201308"/>
            <w:bookmarkStart w:id="210" w:name="_Toc452531362"/>
            <w:bookmarkStart w:id="211" w:name="_Toc452538502"/>
            <w:bookmarkStart w:id="212" w:name="_Toc452538562"/>
            <w:bookmarkStart w:id="213" w:name="_Toc452541635"/>
            <w:bookmarkEnd w:id="201"/>
            <w:bookmarkEnd w:id="202"/>
            <w:bookmarkEnd w:id="203"/>
            <w:bookmarkEnd w:id="204"/>
            <w:bookmarkEnd w:id="205"/>
            <w:bookmarkEnd w:id="206"/>
            <w:bookmarkEnd w:id="207"/>
            <w:bookmarkEnd w:id="208"/>
            <w:bookmarkEnd w:id="209"/>
            <w:bookmarkEnd w:id="210"/>
            <w:bookmarkEnd w:id="211"/>
            <w:bookmarkEnd w:id="212"/>
            <w:bookmarkEnd w:id="213"/>
          </w:p>
        </w:tc>
        <w:tc>
          <w:tcPr>
            <w:tcW w:w="2378" w:type="pct"/>
            <w:tcBorders>
              <w:top w:val="single" w:sz="4" w:space="0" w:color="auto"/>
              <w:left w:val="single" w:sz="4" w:space="0" w:color="auto"/>
              <w:bottom w:val="single" w:sz="4" w:space="0" w:color="auto"/>
              <w:right w:val="single" w:sz="4" w:space="0" w:color="auto"/>
            </w:tcBorders>
            <w:vAlign w:val="bottom"/>
          </w:tcPr>
          <w:p w:rsidR="002606B1" w:rsidRPr="00C42B44" w:rsidRDefault="002606B1" w:rsidP="00931423">
            <w:pPr>
              <w:pStyle w:val="QRCbodytext"/>
              <w:rPr>
                <w:noProof/>
              </w:rPr>
            </w:pPr>
            <w:r w:rsidRPr="00C42B44">
              <w:rPr>
                <w:noProof/>
              </w:rPr>
              <w:t xml:space="preserve">Date: </w:t>
            </w:r>
            <w:r w:rsidRPr="00C42B44">
              <w:fldChar w:fldCharType="begin" w:fldLock="1">
                <w:ffData>
                  <w:name w:val="Text1"/>
                  <w:enabled/>
                  <w:calcOnExit w:val="0"/>
                  <w:textInput/>
                </w:ffData>
              </w:fldChar>
            </w:r>
            <w:r w:rsidRPr="00C42B44">
              <w:instrText xml:space="preserve"> FORMTEXT </w:instrText>
            </w:r>
            <w:r w:rsidRPr="00C42B44">
              <w:fldChar w:fldCharType="separate"/>
            </w:r>
            <w:r w:rsidRPr="00C42B44">
              <w:rPr>
                <w:noProof/>
              </w:rPr>
              <w:t> </w:t>
            </w:r>
            <w:r w:rsidRPr="00C42B44">
              <w:rPr>
                <w:noProof/>
              </w:rPr>
              <w:t> </w:t>
            </w:r>
            <w:r w:rsidRPr="00C42B44">
              <w:rPr>
                <w:noProof/>
              </w:rPr>
              <w:t> </w:t>
            </w:r>
            <w:r w:rsidRPr="00C42B44">
              <w:rPr>
                <w:noProof/>
              </w:rPr>
              <w:t> </w:t>
            </w:r>
            <w:r w:rsidRPr="00C42B44">
              <w:rPr>
                <w:noProof/>
              </w:rPr>
              <w:t> </w:t>
            </w:r>
            <w:r w:rsidRPr="00C42B44">
              <w:fldChar w:fldCharType="end"/>
            </w:r>
            <w:bookmarkStart w:id="214" w:name="_Toc451313335"/>
            <w:bookmarkStart w:id="215" w:name="_Toc451341922"/>
            <w:bookmarkStart w:id="216" w:name="_Toc451504101"/>
            <w:bookmarkStart w:id="217" w:name="_Toc451504166"/>
            <w:bookmarkStart w:id="218" w:name="_Toc451504232"/>
            <w:bookmarkStart w:id="219" w:name="_Toc452107279"/>
            <w:bookmarkStart w:id="220" w:name="_Toc452107330"/>
            <w:bookmarkStart w:id="221" w:name="_Toc452107401"/>
            <w:bookmarkStart w:id="222" w:name="_Toc452201309"/>
            <w:bookmarkStart w:id="223" w:name="_Toc452531363"/>
            <w:bookmarkStart w:id="224" w:name="_Toc452538503"/>
            <w:bookmarkStart w:id="225" w:name="_Toc452538563"/>
            <w:bookmarkStart w:id="226" w:name="_Toc452541636"/>
            <w:bookmarkEnd w:id="214"/>
            <w:bookmarkEnd w:id="215"/>
            <w:bookmarkEnd w:id="216"/>
            <w:bookmarkEnd w:id="217"/>
            <w:bookmarkEnd w:id="218"/>
            <w:bookmarkEnd w:id="219"/>
            <w:bookmarkEnd w:id="220"/>
            <w:bookmarkEnd w:id="221"/>
            <w:bookmarkEnd w:id="222"/>
            <w:bookmarkEnd w:id="223"/>
            <w:bookmarkEnd w:id="224"/>
            <w:bookmarkEnd w:id="225"/>
            <w:bookmarkEnd w:id="226"/>
          </w:p>
        </w:tc>
        <w:bookmarkStart w:id="227" w:name="_Toc451313336"/>
        <w:bookmarkStart w:id="228" w:name="_Toc451341923"/>
        <w:bookmarkStart w:id="229" w:name="_Toc451504102"/>
        <w:bookmarkStart w:id="230" w:name="_Toc451504167"/>
        <w:bookmarkStart w:id="231" w:name="_Toc451504233"/>
        <w:bookmarkStart w:id="232" w:name="_Toc452107280"/>
        <w:bookmarkStart w:id="233" w:name="_Toc452107331"/>
        <w:bookmarkStart w:id="234" w:name="_Toc452107402"/>
        <w:bookmarkStart w:id="235" w:name="_Toc452201310"/>
        <w:bookmarkStart w:id="236" w:name="_Toc452531364"/>
        <w:bookmarkStart w:id="237" w:name="_Toc452538504"/>
        <w:bookmarkStart w:id="238" w:name="_Toc452538564"/>
        <w:bookmarkStart w:id="239" w:name="_Toc452541637"/>
        <w:bookmarkEnd w:id="227"/>
        <w:bookmarkEnd w:id="228"/>
        <w:bookmarkEnd w:id="229"/>
        <w:bookmarkEnd w:id="230"/>
        <w:bookmarkEnd w:id="231"/>
        <w:bookmarkEnd w:id="232"/>
        <w:bookmarkEnd w:id="233"/>
        <w:bookmarkEnd w:id="234"/>
        <w:bookmarkEnd w:id="235"/>
        <w:bookmarkEnd w:id="236"/>
        <w:bookmarkEnd w:id="237"/>
        <w:bookmarkEnd w:id="238"/>
        <w:bookmarkEnd w:id="239"/>
      </w:tr>
    </w:tbl>
    <w:p w:rsidR="002606B1" w:rsidRPr="00C42B44" w:rsidRDefault="002606B1" w:rsidP="002606B1">
      <w:pPr>
        <w:rPr>
          <w:rFonts w:eastAsia="Times New Roman" w:cs="Arial"/>
          <w:color w:val="000000"/>
          <w:sz w:val="21"/>
          <w:szCs w:val="21"/>
        </w:rPr>
      </w:pPr>
      <w:bookmarkStart w:id="240" w:name="_Toc453227625"/>
      <w:r w:rsidRPr="00C42B44">
        <w:br w:type="page"/>
      </w:r>
    </w:p>
    <w:p w:rsidR="002606B1" w:rsidRPr="00C42B44" w:rsidRDefault="002606B1" w:rsidP="002606B1">
      <w:pPr>
        <w:pStyle w:val="QRCboldsub-title"/>
        <w:widowControl/>
        <w:numPr>
          <w:ilvl w:val="0"/>
          <w:numId w:val="2"/>
        </w:numPr>
        <w:ind w:left="720"/>
      </w:pPr>
      <w:r w:rsidRPr="00C42B44">
        <w:lastRenderedPageBreak/>
        <w:t>Data pre-processing</w:t>
      </w:r>
      <w:bookmarkEnd w:id="240"/>
    </w:p>
    <w:p w:rsidR="002606B1" w:rsidRPr="00C42B44" w:rsidRDefault="002606B1" w:rsidP="002606B1">
      <w:pPr>
        <w:pStyle w:val="QRCbodytext"/>
      </w:pPr>
      <w:r w:rsidRPr="00C42B44">
        <w:t>Consider and document relevant data files to be obtained and imported into KPMG Clara. Consider and document the entity’s and the engagement team’s data pre-processing steps and indica</w:t>
      </w:r>
      <w:r>
        <w:t>te who performed each action.</w:t>
      </w:r>
    </w:p>
    <w:tbl>
      <w:tblPr>
        <w:tblStyle w:val="TableGrid"/>
        <w:tblW w:w="9805" w:type="dxa"/>
        <w:tblLook w:val="04A0" w:firstRow="1" w:lastRow="0" w:firstColumn="1" w:lastColumn="0" w:noHBand="0" w:noVBand="1"/>
      </w:tblPr>
      <w:tblGrid>
        <w:gridCol w:w="1435"/>
        <w:gridCol w:w="1890"/>
        <w:gridCol w:w="2070"/>
        <w:gridCol w:w="2070"/>
        <w:gridCol w:w="2340"/>
      </w:tblGrid>
      <w:tr w:rsidR="002606B1" w:rsidRPr="00C42B44" w:rsidTr="00931423">
        <w:trPr>
          <w:trHeight w:val="552"/>
          <w:tblHeader/>
        </w:trPr>
        <w:tc>
          <w:tcPr>
            <w:tcW w:w="1435" w:type="dxa"/>
            <w:shd w:val="clear" w:color="auto" w:fill="D9D9D9" w:themeFill="background1" w:themeFillShade="D9"/>
          </w:tcPr>
          <w:p w:rsidR="002606B1" w:rsidRPr="006C2870" w:rsidRDefault="002606B1" w:rsidP="00931423">
            <w:pPr>
              <w:pStyle w:val="QRCbodytext"/>
              <w:rPr>
                <w:b/>
                <w:sz w:val="16"/>
                <w:szCs w:val="16"/>
              </w:rPr>
            </w:pPr>
            <w:r w:rsidRPr="006C2870">
              <w:rPr>
                <w:b/>
                <w:sz w:val="16"/>
                <w:szCs w:val="16"/>
              </w:rPr>
              <w:t>KPMG Clara data file*</w:t>
            </w:r>
          </w:p>
        </w:tc>
        <w:tc>
          <w:tcPr>
            <w:tcW w:w="1890" w:type="dxa"/>
            <w:shd w:val="clear" w:color="auto" w:fill="D9D9D9" w:themeFill="background1" w:themeFillShade="D9"/>
          </w:tcPr>
          <w:p w:rsidR="002606B1" w:rsidRPr="006C2870" w:rsidRDefault="002606B1" w:rsidP="00931423">
            <w:pPr>
              <w:pStyle w:val="QRCbodytext"/>
              <w:rPr>
                <w:b/>
                <w:sz w:val="16"/>
                <w:szCs w:val="16"/>
              </w:rPr>
            </w:pPr>
            <w:r w:rsidRPr="006C2870">
              <w:rPr>
                <w:b/>
                <w:sz w:val="16"/>
                <w:szCs w:val="16"/>
              </w:rPr>
              <w:t xml:space="preserve">Entity file name**/Optional </w:t>
            </w:r>
          </w:p>
        </w:tc>
        <w:tc>
          <w:tcPr>
            <w:tcW w:w="2070" w:type="dxa"/>
            <w:shd w:val="clear" w:color="auto" w:fill="D9D9D9" w:themeFill="background1" w:themeFillShade="D9"/>
          </w:tcPr>
          <w:p w:rsidR="002606B1" w:rsidRPr="006C2870" w:rsidRDefault="002606B1" w:rsidP="00931423">
            <w:pPr>
              <w:pStyle w:val="QRCbodytext"/>
              <w:rPr>
                <w:b/>
                <w:sz w:val="16"/>
                <w:szCs w:val="16"/>
              </w:rPr>
            </w:pPr>
            <w:r w:rsidRPr="006C2870">
              <w:rPr>
                <w:b/>
                <w:sz w:val="16"/>
                <w:szCs w:val="16"/>
              </w:rPr>
              <w:t xml:space="preserve">Data field specifications/Optional </w:t>
            </w:r>
          </w:p>
        </w:tc>
        <w:tc>
          <w:tcPr>
            <w:tcW w:w="2070" w:type="dxa"/>
            <w:shd w:val="clear" w:color="auto" w:fill="D9D9D9" w:themeFill="background1" w:themeFillShade="D9"/>
          </w:tcPr>
          <w:p w:rsidR="002606B1" w:rsidRPr="006C2870" w:rsidRDefault="002606B1" w:rsidP="00931423">
            <w:pPr>
              <w:pStyle w:val="QRCbodytext"/>
              <w:rPr>
                <w:b/>
                <w:sz w:val="16"/>
                <w:szCs w:val="16"/>
              </w:rPr>
            </w:pPr>
            <w:r w:rsidRPr="006C2870">
              <w:rPr>
                <w:b/>
                <w:sz w:val="16"/>
                <w:szCs w:val="16"/>
              </w:rPr>
              <w:t>Entity’s pre-processing procedures</w:t>
            </w:r>
          </w:p>
        </w:tc>
        <w:tc>
          <w:tcPr>
            <w:tcW w:w="2340" w:type="dxa"/>
            <w:shd w:val="clear" w:color="auto" w:fill="D9D9D9" w:themeFill="background1" w:themeFillShade="D9"/>
          </w:tcPr>
          <w:p w:rsidR="002606B1" w:rsidRPr="006C2870" w:rsidRDefault="002606B1" w:rsidP="00931423">
            <w:pPr>
              <w:pStyle w:val="QRCbodytext"/>
              <w:rPr>
                <w:b/>
                <w:sz w:val="16"/>
                <w:szCs w:val="16"/>
              </w:rPr>
            </w:pPr>
            <w:r w:rsidRPr="006C2870">
              <w:rPr>
                <w:b/>
                <w:sz w:val="16"/>
                <w:szCs w:val="16"/>
              </w:rPr>
              <w:t>Engagement team pre-processing procedures</w:t>
            </w:r>
          </w:p>
        </w:tc>
      </w:tr>
      <w:tr w:rsidR="002606B1" w:rsidRPr="00C42B44" w:rsidTr="00931423">
        <w:trPr>
          <w:trHeight w:val="552"/>
        </w:trPr>
        <w:tc>
          <w:tcPr>
            <w:tcW w:w="1435" w:type="dxa"/>
            <w:shd w:val="clear" w:color="auto" w:fill="F2F2F2" w:themeFill="background1" w:themeFillShade="F2"/>
          </w:tcPr>
          <w:p w:rsidR="002606B1" w:rsidRPr="006C2870" w:rsidRDefault="002606B1" w:rsidP="00931423">
            <w:pPr>
              <w:pStyle w:val="QRCbodytext"/>
              <w:rPr>
                <w:sz w:val="18"/>
                <w:szCs w:val="18"/>
              </w:rPr>
            </w:pPr>
            <w:r w:rsidRPr="006C2870">
              <w:rPr>
                <w:sz w:val="18"/>
                <w:szCs w:val="18"/>
              </w:rPr>
              <w:t>GL Accounts</w:t>
            </w:r>
          </w:p>
        </w:tc>
        <w:tc>
          <w:tcPr>
            <w:tcW w:w="1890" w:type="dxa"/>
            <w:shd w:val="clear" w:color="auto" w:fill="F2F2F2" w:themeFill="background1" w:themeFillShade="F2"/>
          </w:tcPr>
          <w:p w:rsidR="002606B1" w:rsidRPr="006C2870" w:rsidRDefault="002606B1" w:rsidP="00931423">
            <w:pPr>
              <w:pStyle w:val="QRCbodytext"/>
              <w:rPr>
                <w:sz w:val="18"/>
                <w:szCs w:val="18"/>
              </w:rPr>
            </w:pPr>
            <w:r w:rsidRPr="006C2870">
              <w:rPr>
                <w:sz w:val="18"/>
                <w:szCs w:val="18"/>
              </w:rPr>
              <w:t>[</w:t>
            </w:r>
            <w:r w:rsidRPr="006C2870">
              <w:rPr>
                <w:i/>
                <w:sz w:val="18"/>
                <w:szCs w:val="18"/>
              </w:rPr>
              <w:t xml:space="preserve">The entity’s file name may follow a specific naming convention or ERP code that the engagement team may want to document </w:t>
            </w:r>
            <w:proofErr w:type="gramStart"/>
            <w:r w:rsidRPr="006C2870">
              <w:rPr>
                <w:i/>
                <w:sz w:val="18"/>
                <w:szCs w:val="18"/>
              </w:rPr>
              <w:t>in order to</w:t>
            </w:r>
            <w:proofErr w:type="gramEnd"/>
            <w:r w:rsidRPr="006C2870">
              <w:rPr>
                <w:i/>
                <w:sz w:val="18"/>
                <w:szCs w:val="18"/>
              </w:rPr>
              <w:t xml:space="preserve"> utilize for future data extractions</w:t>
            </w:r>
            <w:r w:rsidRPr="006C2870">
              <w:rPr>
                <w:sz w:val="18"/>
                <w:szCs w:val="18"/>
              </w:rPr>
              <w:t>]</w:t>
            </w:r>
          </w:p>
        </w:tc>
        <w:tc>
          <w:tcPr>
            <w:tcW w:w="2070" w:type="dxa"/>
            <w:shd w:val="clear" w:color="auto" w:fill="F2F2F2" w:themeFill="background1" w:themeFillShade="F2"/>
          </w:tcPr>
          <w:p w:rsidR="002606B1" w:rsidRPr="006C2870" w:rsidRDefault="002606B1" w:rsidP="00931423">
            <w:pPr>
              <w:pStyle w:val="QRCbodytext"/>
              <w:rPr>
                <w:sz w:val="18"/>
                <w:szCs w:val="18"/>
              </w:rPr>
            </w:pPr>
            <w:r w:rsidRPr="006C2870">
              <w:rPr>
                <w:sz w:val="18"/>
                <w:szCs w:val="18"/>
              </w:rPr>
              <w:t>[</w:t>
            </w:r>
            <w:r w:rsidRPr="006C2870">
              <w:rPr>
                <w:i/>
                <w:sz w:val="18"/>
                <w:szCs w:val="18"/>
              </w:rPr>
              <w:t xml:space="preserve">List names of data fields extracted that have been processed </w:t>
            </w:r>
            <w:proofErr w:type="gramStart"/>
            <w:r w:rsidRPr="006C2870">
              <w:rPr>
                <w:i/>
                <w:sz w:val="18"/>
                <w:szCs w:val="18"/>
              </w:rPr>
              <w:t>in order to</w:t>
            </w:r>
            <w:proofErr w:type="gramEnd"/>
            <w:r w:rsidRPr="006C2870">
              <w:rPr>
                <w:i/>
                <w:sz w:val="18"/>
                <w:szCs w:val="18"/>
              </w:rPr>
              <w:t xml:space="preserve"> meet requirements for successful import in KPMG Clara</w:t>
            </w:r>
            <w:r w:rsidRPr="006C2870">
              <w:rPr>
                <w:sz w:val="18"/>
                <w:szCs w:val="18"/>
              </w:rPr>
              <w:t>]</w:t>
            </w:r>
          </w:p>
        </w:tc>
        <w:tc>
          <w:tcPr>
            <w:tcW w:w="2070" w:type="dxa"/>
            <w:shd w:val="clear" w:color="auto" w:fill="F2F2F2" w:themeFill="background1" w:themeFillShade="F2"/>
          </w:tcPr>
          <w:p w:rsidR="002606B1" w:rsidRPr="006C2870" w:rsidRDefault="002606B1" w:rsidP="00931423">
            <w:pPr>
              <w:pStyle w:val="QRCbodytext"/>
              <w:rPr>
                <w:sz w:val="18"/>
                <w:szCs w:val="18"/>
              </w:rPr>
            </w:pPr>
            <w:r w:rsidRPr="006C2870">
              <w:rPr>
                <w:sz w:val="18"/>
                <w:szCs w:val="18"/>
              </w:rPr>
              <w:t>[</w:t>
            </w:r>
            <w:r w:rsidRPr="006C2870">
              <w:rPr>
                <w:i/>
                <w:sz w:val="18"/>
                <w:szCs w:val="18"/>
              </w:rPr>
              <w:t>The entity’s pre-processing procedures should be listed and would include such items as: Description of unnecessary data fields removed from raw data, description of data fields added to raw data, description of combining two dataset tables into a single table, etc</w:t>
            </w:r>
            <w:r w:rsidRPr="006C2870">
              <w:rPr>
                <w:sz w:val="18"/>
                <w:szCs w:val="18"/>
              </w:rPr>
              <w:t>.]</w:t>
            </w:r>
          </w:p>
        </w:tc>
        <w:tc>
          <w:tcPr>
            <w:tcW w:w="2340" w:type="dxa"/>
            <w:shd w:val="clear" w:color="auto" w:fill="F2F2F2" w:themeFill="background1" w:themeFillShade="F2"/>
          </w:tcPr>
          <w:p w:rsidR="002606B1" w:rsidRPr="006C2870" w:rsidRDefault="002606B1" w:rsidP="00931423">
            <w:pPr>
              <w:pStyle w:val="QRCbodytext"/>
              <w:rPr>
                <w:sz w:val="18"/>
                <w:szCs w:val="18"/>
              </w:rPr>
            </w:pPr>
            <w:r w:rsidRPr="006C2870">
              <w:rPr>
                <w:sz w:val="18"/>
                <w:szCs w:val="18"/>
              </w:rPr>
              <w:t>[</w:t>
            </w:r>
            <w:r w:rsidRPr="006C2870">
              <w:rPr>
                <w:i/>
                <w:sz w:val="18"/>
                <w:szCs w:val="18"/>
              </w:rPr>
              <w:t>The engagement team’s pre-processing procedures should be listed and would include such items as: Description of unnecessary data fields removed from raw data, description of data fields added to raw data, description of combining two dataset tables into a single table, etc.</w:t>
            </w:r>
            <w:r w:rsidRPr="006C2870">
              <w:rPr>
                <w:sz w:val="18"/>
                <w:szCs w:val="18"/>
              </w:rPr>
              <w:t>]</w:t>
            </w:r>
          </w:p>
        </w:tc>
      </w:tr>
      <w:tr w:rsidR="002606B1" w:rsidRPr="00C42B44" w:rsidTr="00931423">
        <w:trPr>
          <w:trHeight w:val="552"/>
        </w:trPr>
        <w:tc>
          <w:tcPr>
            <w:tcW w:w="1435" w:type="dxa"/>
          </w:tcPr>
          <w:p w:rsidR="002606B1" w:rsidRPr="006C2870" w:rsidRDefault="002606B1" w:rsidP="00931423">
            <w:pPr>
              <w:pStyle w:val="QRCbodytext"/>
              <w:rPr>
                <w:sz w:val="18"/>
                <w:szCs w:val="18"/>
              </w:rPr>
            </w:pPr>
            <w:r>
              <w:rPr>
                <w:sz w:val="18"/>
                <w:szCs w:val="18"/>
              </w:rPr>
              <w:br w:type="page"/>
              <w:t>JE Transactions</w:t>
            </w:r>
          </w:p>
        </w:tc>
        <w:tc>
          <w:tcPr>
            <w:tcW w:w="1890" w:type="dxa"/>
          </w:tcPr>
          <w:p w:rsidR="002606B1" w:rsidRPr="00C42B44" w:rsidRDefault="002606B1" w:rsidP="00931423">
            <w:pPr>
              <w:pStyle w:val="QRCbodytext"/>
            </w:pPr>
          </w:p>
        </w:tc>
        <w:tc>
          <w:tcPr>
            <w:tcW w:w="2070" w:type="dxa"/>
          </w:tcPr>
          <w:p w:rsidR="002606B1" w:rsidRPr="00C42B44" w:rsidRDefault="002606B1" w:rsidP="00931423">
            <w:pPr>
              <w:pStyle w:val="QRCbodytext"/>
            </w:pPr>
          </w:p>
        </w:tc>
        <w:tc>
          <w:tcPr>
            <w:tcW w:w="2070" w:type="dxa"/>
          </w:tcPr>
          <w:p w:rsidR="002606B1" w:rsidRPr="00C42B44" w:rsidRDefault="002606B1" w:rsidP="00931423">
            <w:pPr>
              <w:pStyle w:val="QRCbodytext"/>
            </w:pPr>
          </w:p>
        </w:tc>
        <w:tc>
          <w:tcPr>
            <w:tcW w:w="2340" w:type="dxa"/>
          </w:tcPr>
          <w:p w:rsidR="002606B1" w:rsidRPr="00C42B44" w:rsidRDefault="002606B1" w:rsidP="00931423">
            <w:pPr>
              <w:pStyle w:val="QRCbodytext"/>
            </w:pPr>
          </w:p>
        </w:tc>
      </w:tr>
      <w:tr w:rsidR="002606B1" w:rsidRPr="00C42B44" w:rsidTr="00931423">
        <w:trPr>
          <w:trHeight w:val="552"/>
        </w:trPr>
        <w:tc>
          <w:tcPr>
            <w:tcW w:w="1435" w:type="dxa"/>
            <w:shd w:val="clear" w:color="auto" w:fill="F2F2F2" w:themeFill="background1" w:themeFillShade="F2"/>
          </w:tcPr>
          <w:p w:rsidR="002606B1" w:rsidRPr="006C2870" w:rsidRDefault="002606B1" w:rsidP="00931423">
            <w:pPr>
              <w:pStyle w:val="QRCbodytext"/>
              <w:rPr>
                <w:sz w:val="18"/>
                <w:szCs w:val="18"/>
              </w:rPr>
            </w:pPr>
            <w:r w:rsidRPr="006C2870">
              <w:rPr>
                <w:sz w:val="18"/>
                <w:szCs w:val="18"/>
              </w:rPr>
              <w:t>GL Account Balances – Prior Year Ending Balances, Current Year Opening Balances and Current Year Ending Balances</w:t>
            </w:r>
            <w:r>
              <w:rPr>
                <w:rStyle w:val="FootnoteReference"/>
                <w:rFonts w:eastAsia="Calibri"/>
                <w:sz w:val="18"/>
                <w:szCs w:val="18"/>
              </w:rPr>
              <w:footnoteReference w:id="1"/>
            </w:r>
          </w:p>
        </w:tc>
        <w:tc>
          <w:tcPr>
            <w:tcW w:w="1890" w:type="dxa"/>
            <w:shd w:val="clear" w:color="auto" w:fill="F2F2F2" w:themeFill="background1" w:themeFillShade="F2"/>
          </w:tcPr>
          <w:p w:rsidR="002606B1" w:rsidRPr="00C42B44" w:rsidRDefault="002606B1" w:rsidP="00931423">
            <w:pPr>
              <w:pStyle w:val="QRCbodytext"/>
            </w:pPr>
          </w:p>
        </w:tc>
        <w:tc>
          <w:tcPr>
            <w:tcW w:w="2070" w:type="dxa"/>
            <w:shd w:val="clear" w:color="auto" w:fill="F2F2F2" w:themeFill="background1" w:themeFillShade="F2"/>
          </w:tcPr>
          <w:p w:rsidR="002606B1" w:rsidRPr="00C42B44" w:rsidRDefault="002606B1" w:rsidP="00931423">
            <w:pPr>
              <w:pStyle w:val="QRCbodytext"/>
            </w:pPr>
          </w:p>
        </w:tc>
        <w:tc>
          <w:tcPr>
            <w:tcW w:w="2070" w:type="dxa"/>
            <w:shd w:val="clear" w:color="auto" w:fill="F2F2F2" w:themeFill="background1" w:themeFillShade="F2"/>
          </w:tcPr>
          <w:p w:rsidR="002606B1" w:rsidRPr="00C42B44" w:rsidRDefault="002606B1" w:rsidP="00931423">
            <w:pPr>
              <w:pStyle w:val="QRCbodytext"/>
            </w:pPr>
          </w:p>
        </w:tc>
        <w:tc>
          <w:tcPr>
            <w:tcW w:w="2340" w:type="dxa"/>
            <w:shd w:val="clear" w:color="auto" w:fill="F2F2F2" w:themeFill="background1" w:themeFillShade="F2"/>
          </w:tcPr>
          <w:p w:rsidR="002606B1" w:rsidRPr="00C42B44" w:rsidRDefault="002606B1" w:rsidP="00931423">
            <w:pPr>
              <w:pStyle w:val="QRCbodytext"/>
            </w:pPr>
          </w:p>
        </w:tc>
      </w:tr>
      <w:tr w:rsidR="002606B1" w:rsidRPr="00C42B44" w:rsidTr="00931423">
        <w:trPr>
          <w:trHeight w:val="552"/>
        </w:trPr>
        <w:tc>
          <w:tcPr>
            <w:tcW w:w="9805" w:type="dxa"/>
            <w:gridSpan w:val="5"/>
            <w:shd w:val="clear" w:color="auto" w:fill="FFFFFF" w:themeFill="background1"/>
          </w:tcPr>
          <w:p w:rsidR="002606B1" w:rsidRPr="00383B8E" w:rsidRDefault="002606B1" w:rsidP="00931423">
            <w:pPr>
              <w:pStyle w:val="QRCbodytext"/>
              <w:rPr>
                <w:i/>
                <w:sz w:val="16"/>
                <w:szCs w:val="16"/>
              </w:rPr>
            </w:pPr>
            <w:r>
              <w:rPr>
                <w:i/>
                <w:sz w:val="16"/>
                <w:szCs w:val="16"/>
              </w:rPr>
              <w:t xml:space="preserve">* </w:t>
            </w:r>
            <w:r w:rsidRPr="00383B8E">
              <w:rPr>
                <w:i/>
                <w:sz w:val="16"/>
                <w:szCs w:val="16"/>
              </w:rPr>
              <w:t xml:space="preserve">The minimum data requirements for KPMG Clara will differ depending upon which </w:t>
            </w:r>
            <w:r>
              <w:rPr>
                <w:i/>
                <w:sz w:val="16"/>
                <w:szCs w:val="16"/>
              </w:rPr>
              <w:t>A</w:t>
            </w:r>
            <w:r w:rsidRPr="00383B8E">
              <w:rPr>
                <w:i/>
                <w:sz w:val="16"/>
                <w:szCs w:val="16"/>
              </w:rPr>
              <w:t xml:space="preserve">dvanced </w:t>
            </w:r>
            <w:r>
              <w:rPr>
                <w:i/>
                <w:sz w:val="16"/>
                <w:szCs w:val="16"/>
              </w:rPr>
              <w:t>C</w:t>
            </w:r>
            <w:r w:rsidRPr="00383B8E">
              <w:rPr>
                <w:i/>
                <w:sz w:val="16"/>
                <w:szCs w:val="16"/>
              </w:rPr>
              <w:t xml:space="preserve">apabilities the engagement team plans to use. The list of data files above, which assumes all KPMG Clara </w:t>
            </w:r>
            <w:r>
              <w:rPr>
                <w:i/>
                <w:sz w:val="16"/>
                <w:szCs w:val="16"/>
              </w:rPr>
              <w:t>A</w:t>
            </w:r>
            <w:r w:rsidRPr="00383B8E">
              <w:rPr>
                <w:i/>
                <w:sz w:val="16"/>
                <w:szCs w:val="16"/>
              </w:rPr>
              <w:t xml:space="preserve">dvanced </w:t>
            </w:r>
            <w:r>
              <w:rPr>
                <w:i/>
                <w:sz w:val="16"/>
                <w:szCs w:val="16"/>
              </w:rPr>
              <w:t>C</w:t>
            </w:r>
            <w:r w:rsidRPr="00383B8E">
              <w:rPr>
                <w:i/>
                <w:sz w:val="16"/>
                <w:szCs w:val="16"/>
              </w:rPr>
              <w:t>apabilities are being used, should be tailored based upon the engagement specific circumstances.</w:t>
            </w:r>
          </w:p>
          <w:p w:rsidR="002606B1" w:rsidRPr="00C42B44" w:rsidRDefault="002606B1" w:rsidP="00931423">
            <w:pPr>
              <w:pStyle w:val="QRCbodytext"/>
            </w:pPr>
            <w:r>
              <w:rPr>
                <w:i/>
                <w:sz w:val="16"/>
                <w:szCs w:val="16"/>
              </w:rPr>
              <w:t xml:space="preserve">** </w:t>
            </w:r>
            <w:r w:rsidRPr="00383B8E">
              <w:rPr>
                <w:i/>
                <w:sz w:val="16"/>
                <w:szCs w:val="16"/>
              </w:rPr>
              <w:t>This column represents the entity’s file naming convention for the KPMG Clara data files.</w:t>
            </w:r>
          </w:p>
        </w:tc>
      </w:tr>
    </w:tbl>
    <w:p w:rsidR="002606B1" w:rsidRDefault="002606B1" w:rsidP="002606B1">
      <w:pPr>
        <w:pStyle w:val="QRCboldsub-title"/>
        <w:widowControl/>
        <w:ind w:left="720"/>
      </w:pPr>
      <w:bookmarkStart w:id="241" w:name="_Toc451504104"/>
      <w:bookmarkStart w:id="242" w:name="_Toc451504169"/>
      <w:bookmarkStart w:id="243" w:name="_Toc451504235"/>
      <w:bookmarkStart w:id="244" w:name="_Toc452107282"/>
      <w:bookmarkStart w:id="245" w:name="_Toc452107333"/>
      <w:bookmarkStart w:id="246" w:name="_Toc452107404"/>
      <w:bookmarkStart w:id="247" w:name="_Toc452201312"/>
      <w:bookmarkStart w:id="248" w:name="_Toc452531366"/>
      <w:bookmarkStart w:id="249" w:name="_Toc452538506"/>
      <w:bookmarkStart w:id="250" w:name="_Toc452538566"/>
      <w:bookmarkStart w:id="251" w:name="_Toc452541639"/>
      <w:bookmarkStart w:id="252" w:name="_Toc453227626"/>
      <w:bookmarkEnd w:id="241"/>
      <w:bookmarkEnd w:id="242"/>
      <w:bookmarkEnd w:id="243"/>
      <w:bookmarkEnd w:id="244"/>
      <w:bookmarkEnd w:id="245"/>
      <w:bookmarkEnd w:id="246"/>
      <w:bookmarkEnd w:id="247"/>
      <w:bookmarkEnd w:id="248"/>
      <w:bookmarkEnd w:id="249"/>
      <w:bookmarkEnd w:id="250"/>
      <w:bookmarkEnd w:id="251"/>
    </w:p>
    <w:p w:rsidR="002606B1" w:rsidRDefault="002606B1" w:rsidP="002606B1">
      <w:pPr>
        <w:spacing w:before="0" w:after="160" w:line="259" w:lineRule="auto"/>
        <w:rPr>
          <w:rFonts w:eastAsia="Times New Roman" w:cs="Arial"/>
          <w:b/>
          <w:sz w:val="22"/>
          <w:szCs w:val="21"/>
          <w:lang w:val="en-AU" w:eastAsia="zh-CN"/>
        </w:rPr>
      </w:pPr>
      <w:r>
        <w:br w:type="page"/>
      </w:r>
    </w:p>
    <w:p w:rsidR="002606B1" w:rsidRPr="00C42B44" w:rsidRDefault="002606B1" w:rsidP="002606B1">
      <w:pPr>
        <w:pStyle w:val="QRCboldsub-title"/>
        <w:widowControl/>
        <w:numPr>
          <w:ilvl w:val="0"/>
          <w:numId w:val="2"/>
        </w:numPr>
        <w:ind w:left="720"/>
      </w:pPr>
      <w:r w:rsidRPr="00C42B44">
        <w:lastRenderedPageBreak/>
        <w:t>Data file details</w:t>
      </w:r>
      <w:bookmarkEnd w:id="252"/>
    </w:p>
    <w:p w:rsidR="002606B1" w:rsidRPr="00C42B44" w:rsidRDefault="002606B1" w:rsidP="002606B1">
      <w:pPr>
        <w:pStyle w:val="QRCbodytext"/>
      </w:pPr>
      <w:r w:rsidRPr="00C42B44">
        <w:t>Document details regarding how the data was obtained and imported into KPMG Clara for the engagement team’s use. This may include the description and format of the relevant data files imported, the data source and system, and the media used to transfer the data from the entity’s files, together with the client contact and the date the data was extracted from t</w:t>
      </w:r>
      <w:r>
        <w:t>he entity’s information system.</w:t>
      </w:r>
    </w:p>
    <w:tbl>
      <w:tblPr>
        <w:tblStyle w:val="TableGrid"/>
        <w:tblW w:w="9806" w:type="dxa"/>
        <w:tblLayout w:type="fixed"/>
        <w:tblLook w:val="04A0" w:firstRow="1" w:lastRow="0" w:firstColumn="1" w:lastColumn="0" w:noHBand="0" w:noVBand="1"/>
      </w:tblPr>
      <w:tblGrid>
        <w:gridCol w:w="1345"/>
        <w:gridCol w:w="1107"/>
        <w:gridCol w:w="1227"/>
        <w:gridCol w:w="1225"/>
        <w:gridCol w:w="1225"/>
        <w:gridCol w:w="1226"/>
        <w:gridCol w:w="1225"/>
        <w:gridCol w:w="1226"/>
      </w:tblGrid>
      <w:tr w:rsidR="002606B1" w:rsidRPr="00C42B44" w:rsidTr="00931423">
        <w:trPr>
          <w:trHeight w:val="746"/>
        </w:trPr>
        <w:tc>
          <w:tcPr>
            <w:tcW w:w="1345" w:type="dxa"/>
            <w:shd w:val="clear" w:color="auto" w:fill="D9D9D9" w:themeFill="background1" w:themeFillShade="D9"/>
          </w:tcPr>
          <w:p w:rsidR="002606B1" w:rsidRPr="006C2870" w:rsidRDefault="002606B1" w:rsidP="00931423">
            <w:pPr>
              <w:pStyle w:val="QRCbodytext"/>
              <w:rPr>
                <w:b/>
                <w:sz w:val="16"/>
                <w:szCs w:val="16"/>
              </w:rPr>
            </w:pPr>
            <w:r w:rsidRPr="006C2870">
              <w:rPr>
                <w:b/>
                <w:sz w:val="16"/>
                <w:szCs w:val="16"/>
              </w:rPr>
              <w:t>KPMG Clara</w:t>
            </w:r>
            <w:r w:rsidRPr="006C2870" w:rsidDel="00FF0BC5">
              <w:rPr>
                <w:b/>
                <w:sz w:val="16"/>
                <w:szCs w:val="16"/>
              </w:rPr>
              <w:t xml:space="preserve"> </w:t>
            </w:r>
            <w:r w:rsidRPr="006C2870">
              <w:rPr>
                <w:b/>
                <w:sz w:val="16"/>
                <w:szCs w:val="16"/>
              </w:rPr>
              <w:t>data file*</w:t>
            </w:r>
          </w:p>
        </w:tc>
        <w:tc>
          <w:tcPr>
            <w:tcW w:w="1107" w:type="dxa"/>
            <w:shd w:val="clear" w:color="auto" w:fill="D9D9D9" w:themeFill="background1" w:themeFillShade="D9"/>
          </w:tcPr>
          <w:p w:rsidR="002606B1" w:rsidRPr="006C2870" w:rsidRDefault="002606B1" w:rsidP="00931423">
            <w:pPr>
              <w:pStyle w:val="QRCbodytext"/>
              <w:rPr>
                <w:b/>
                <w:sz w:val="16"/>
                <w:szCs w:val="16"/>
              </w:rPr>
            </w:pPr>
            <w:r w:rsidRPr="006C2870">
              <w:rPr>
                <w:b/>
                <w:sz w:val="16"/>
                <w:szCs w:val="16"/>
              </w:rPr>
              <w:t>File format</w:t>
            </w:r>
          </w:p>
        </w:tc>
        <w:tc>
          <w:tcPr>
            <w:tcW w:w="1227" w:type="dxa"/>
            <w:shd w:val="clear" w:color="auto" w:fill="D9D9D9" w:themeFill="background1" w:themeFillShade="D9"/>
          </w:tcPr>
          <w:p w:rsidR="002606B1" w:rsidRPr="006C2870" w:rsidRDefault="002606B1" w:rsidP="00931423">
            <w:pPr>
              <w:pStyle w:val="QRCbodytext"/>
              <w:rPr>
                <w:b/>
                <w:sz w:val="16"/>
                <w:szCs w:val="16"/>
              </w:rPr>
            </w:pPr>
            <w:r w:rsidRPr="006C2870">
              <w:rPr>
                <w:b/>
                <w:sz w:val="16"/>
                <w:szCs w:val="16"/>
              </w:rPr>
              <w:t>Data source and system</w:t>
            </w:r>
          </w:p>
        </w:tc>
        <w:tc>
          <w:tcPr>
            <w:tcW w:w="1225" w:type="dxa"/>
            <w:shd w:val="clear" w:color="auto" w:fill="D9D9D9" w:themeFill="background1" w:themeFillShade="D9"/>
          </w:tcPr>
          <w:p w:rsidR="002606B1" w:rsidRPr="006C2870" w:rsidRDefault="002606B1" w:rsidP="00931423">
            <w:pPr>
              <w:pStyle w:val="QRCbodytext"/>
              <w:rPr>
                <w:b/>
                <w:sz w:val="16"/>
                <w:szCs w:val="16"/>
              </w:rPr>
            </w:pPr>
            <w:r w:rsidRPr="006C2870">
              <w:rPr>
                <w:b/>
                <w:sz w:val="16"/>
                <w:szCs w:val="16"/>
              </w:rPr>
              <w:t>Method of receiving data</w:t>
            </w:r>
          </w:p>
        </w:tc>
        <w:tc>
          <w:tcPr>
            <w:tcW w:w="1225" w:type="dxa"/>
            <w:shd w:val="clear" w:color="auto" w:fill="D9D9D9" w:themeFill="background1" w:themeFillShade="D9"/>
          </w:tcPr>
          <w:p w:rsidR="002606B1" w:rsidRPr="006C2870" w:rsidRDefault="002606B1" w:rsidP="00931423">
            <w:pPr>
              <w:pStyle w:val="QRCbodytext"/>
              <w:rPr>
                <w:b/>
                <w:sz w:val="16"/>
                <w:szCs w:val="16"/>
              </w:rPr>
            </w:pPr>
            <w:r w:rsidRPr="006C2870">
              <w:rPr>
                <w:b/>
                <w:sz w:val="16"/>
                <w:szCs w:val="16"/>
              </w:rPr>
              <w:t>Entity contact</w:t>
            </w:r>
          </w:p>
        </w:tc>
        <w:tc>
          <w:tcPr>
            <w:tcW w:w="1226" w:type="dxa"/>
            <w:shd w:val="clear" w:color="auto" w:fill="D9D9D9" w:themeFill="background1" w:themeFillShade="D9"/>
          </w:tcPr>
          <w:p w:rsidR="002606B1" w:rsidRPr="006C2870" w:rsidRDefault="002606B1" w:rsidP="00931423">
            <w:pPr>
              <w:pStyle w:val="QRCbodytext"/>
              <w:rPr>
                <w:b/>
                <w:sz w:val="16"/>
                <w:szCs w:val="16"/>
              </w:rPr>
            </w:pPr>
            <w:r w:rsidRPr="006C2870">
              <w:rPr>
                <w:b/>
                <w:sz w:val="16"/>
                <w:szCs w:val="16"/>
              </w:rPr>
              <w:t>Date of extraction</w:t>
            </w:r>
          </w:p>
        </w:tc>
        <w:tc>
          <w:tcPr>
            <w:tcW w:w="1225" w:type="dxa"/>
            <w:shd w:val="clear" w:color="auto" w:fill="D9D9D9" w:themeFill="background1" w:themeFillShade="D9"/>
          </w:tcPr>
          <w:p w:rsidR="002606B1" w:rsidRPr="006C2870" w:rsidRDefault="002606B1" w:rsidP="00931423">
            <w:pPr>
              <w:pStyle w:val="QRCbodytext"/>
              <w:rPr>
                <w:b/>
                <w:sz w:val="16"/>
                <w:szCs w:val="16"/>
              </w:rPr>
            </w:pPr>
            <w:r w:rsidRPr="006C2870">
              <w:rPr>
                <w:b/>
                <w:sz w:val="16"/>
                <w:szCs w:val="16"/>
              </w:rPr>
              <w:t>Period-end date</w:t>
            </w:r>
          </w:p>
        </w:tc>
        <w:tc>
          <w:tcPr>
            <w:tcW w:w="1226" w:type="dxa"/>
            <w:shd w:val="clear" w:color="auto" w:fill="D9D9D9" w:themeFill="background1" w:themeFillShade="D9"/>
          </w:tcPr>
          <w:p w:rsidR="002606B1" w:rsidRPr="006C2870" w:rsidRDefault="002606B1" w:rsidP="00931423">
            <w:pPr>
              <w:pStyle w:val="QRCbodytext"/>
              <w:rPr>
                <w:b/>
                <w:sz w:val="16"/>
                <w:szCs w:val="16"/>
              </w:rPr>
            </w:pPr>
            <w:r w:rsidRPr="006C2870">
              <w:rPr>
                <w:b/>
                <w:sz w:val="16"/>
                <w:szCs w:val="16"/>
              </w:rPr>
              <w:t>Period covered</w:t>
            </w:r>
          </w:p>
        </w:tc>
      </w:tr>
      <w:tr w:rsidR="002606B1" w:rsidRPr="00C42B44" w:rsidTr="00931423">
        <w:trPr>
          <w:trHeight w:val="647"/>
        </w:trPr>
        <w:tc>
          <w:tcPr>
            <w:tcW w:w="1345" w:type="dxa"/>
            <w:shd w:val="clear" w:color="auto" w:fill="F2F2F2" w:themeFill="background1" w:themeFillShade="F2"/>
          </w:tcPr>
          <w:p w:rsidR="002606B1" w:rsidRPr="006C2870" w:rsidRDefault="002606B1" w:rsidP="00931423">
            <w:pPr>
              <w:pStyle w:val="QRCbodytext"/>
              <w:rPr>
                <w:sz w:val="18"/>
                <w:szCs w:val="18"/>
              </w:rPr>
            </w:pPr>
            <w:r w:rsidRPr="006C2870">
              <w:rPr>
                <w:sz w:val="18"/>
                <w:szCs w:val="18"/>
              </w:rPr>
              <w:t>GL Accounts</w:t>
            </w:r>
          </w:p>
        </w:tc>
        <w:tc>
          <w:tcPr>
            <w:tcW w:w="1107" w:type="dxa"/>
            <w:shd w:val="clear" w:color="auto" w:fill="F2F2F2" w:themeFill="background1" w:themeFillShade="F2"/>
          </w:tcPr>
          <w:p w:rsidR="002606B1" w:rsidRPr="006C2870" w:rsidRDefault="002606B1" w:rsidP="00931423">
            <w:pPr>
              <w:pStyle w:val="QRCbodytext"/>
              <w:rPr>
                <w:sz w:val="18"/>
                <w:szCs w:val="18"/>
              </w:rPr>
            </w:pPr>
            <w:r w:rsidRPr="006C2870">
              <w:rPr>
                <w:sz w:val="18"/>
                <w:szCs w:val="18"/>
              </w:rPr>
              <w:t>Delimited flat file (.txt)</w:t>
            </w:r>
          </w:p>
        </w:tc>
        <w:tc>
          <w:tcPr>
            <w:tcW w:w="1227" w:type="dxa"/>
            <w:shd w:val="clear" w:color="auto" w:fill="F2F2F2" w:themeFill="background1" w:themeFillShade="F2"/>
          </w:tcPr>
          <w:p w:rsidR="002606B1" w:rsidRPr="00C42B44" w:rsidRDefault="002606B1" w:rsidP="00931423">
            <w:pPr>
              <w:pStyle w:val="QRCbodytext"/>
            </w:pPr>
          </w:p>
        </w:tc>
        <w:tc>
          <w:tcPr>
            <w:tcW w:w="1225" w:type="dxa"/>
            <w:shd w:val="clear" w:color="auto" w:fill="F2F2F2" w:themeFill="background1" w:themeFillShade="F2"/>
          </w:tcPr>
          <w:p w:rsidR="002606B1" w:rsidRPr="00C42B44" w:rsidRDefault="002606B1" w:rsidP="00931423">
            <w:pPr>
              <w:pStyle w:val="QRCbodytext"/>
            </w:pPr>
          </w:p>
        </w:tc>
        <w:tc>
          <w:tcPr>
            <w:tcW w:w="1225" w:type="dxa"/>
            <w:shd w:val="clear" w:color="auto" w:fill="F2F2F2" w:themeFill="background1" w:themeFillShade="F2"/>
          </w:tcPr>
          <w:p w:rsidR="002606B1" w:rsidRPr="00C42B44" w:rsidRDefault="002606B1" w:rsidP="00931423">
            <w:pPr>
              <w:pStyle w:val="QRCbodytext"/>
            </w:pPr>
          </w:p>
        </w:tc>
        <w:tc>
          <w:tcPr>
            <w:tcW w:w="1226" w:type="dxa"/>
            <w:shd w:val="clear" w:color="auto" w:fill="F2F2F2" w:themeFill="background1" w:themeFillShade="F2"/>
          </w:tcPr>
          <w:p w:rsidR="002606B1" w:rsidRPr="00C42B44" w:rsidRDefault="002606B1" w:rsidP="00931423">
            <w:pPr>
              <w:pStyle w:val="QRCbodytext"/>
            </w:pPr>
          </w:p>
        </w:tc>
        <w:tc>
          <w:tcPr>
            <w:tcW w:w="1225" w:type="dxa"/>
            <w:shd w:val="clear" w:color="auto" w:fill="F2F2F2" w:themeFill="background1" w:themeFillShade="F2"/>
          </w:tcPr>
          <w:p w:rsidR="002606B1" w:rsidRPr="00C42B44" w:rsidRDefault="002606B1" w:rsidP="00931423">
            <w:pPr>
              <w:pStyle w:val="QRCbodytext"/>
            </w:pPr>
          </w:p>
        </w:tc>
        <w:tc>
          <w:tcPr>
            <w:tcW w:w="1226" w:type="dxa"/>
            <w:shd w:val="clear" w:color="auto" w:fill="F2F2F2" w:themeFill="background1" w:themeFillShade="F2"/>
          </w:tcPr>
          <w:p w:rsidR="002606B1" w:rsidRPr="00C42B44" w:rsidRDefault="002606B1" w:rsidP="00931423">
            <w:pPr>
              <w:pStyle w:val="QRCbodytext"/>
            </w:pPr>
          </w:p>
        </w:tc>
      </w:tr>
      <w:tr w:rsidR="002606B1" w:rsidRPr="00C42B44" w:rsidTr="00931423">
        <w:trPr>
          <w:trHeight w:val="764"/>
        </w:trPr>
        <w:tc>
          <w:tcPr>
            <w:tcW w:w="1345" w:type="dxa"/>
            <w:shd w:val="clear" w:color="auto" w:fill="auto"/>
          </w:tcPr>
          <w:p w:rsidR="002606B1" w:rsidRPr="006C2870" w:rsidRDefault="002606B1" w:rsidP="00931423">
            <w:pPr>
              <w:pStyle w:val="QRCbodytext"/>
              <w:rPr>
                <w:sz w:val="18"/>
                <w:szCs w:val="18"/>
              </w:rPr>
            </w:pPr>
            <w:r w:rsidRPr="006C2870">
              <w:rPr>
                <w:sz w:val="18"/>
                <w:szCs w:val="18"/>
              </w:rPr>
              <w:br w:type="page"/>
              <w:t>JE transactions</w:t>
            </w:r>
          </w:p>
        </w:tc>
        <w:tc>
          <w:tcPr>
            <w:tcW w:w="1107" w:type="dxa"/>
            <w:shd w:val="clear" w:color="auto" w:fill="auto"/>
          </w:tcPr>
          <w:p w:rsidR="002606B1" w:rsidRPr="006C2870" w:rsidRDefault="002606B1" w:rsidP="00931423">
            <w:pPr>
              <w:pStyle w:val="QRCbodytext"/>
              <w:rPr>
                <w:sz w:val="18"/>
                <w:szCs w:val="18"/>
              </w:rPr>
            </w:pPr>
            <w:r w:rsidRPr="006C2870">
              <w:rPr>
                <w:sz w:val="18"/>
                <w:szCs w:val="18"/>
              </w:rPr>
              <w:t>Delimited flat file (.txt)</w:t>
            </w:r>
          </w:p>
        </w:tc>
        <w:tc>
          <w:tcPr>
            <w:tcW w:w="1227" w:type="dxa"/>
            <w:shd w:val="clear" w:color="auto" w:fill="auto"/>
          </w:tcPr>
          <w:p w:rsidR="002606B1" w:rsidRPr="00C42B44" w:rsidRDefault="002606B1" w:rsidP="00931423">
            <w:pPr>
              <w:pStyle w:val="QRCbodytext"/>
            </w:pPr>
          </w:p>
        </w:tc>
        <w:tc>
          <w:tcPr>
            <w:tcW w:w="1225" w:type="dxa"/>
            <w:shd w:val="clear" w:color="auto" w:fill="auto"/>
          </w:tcPr>
          <w:p w:rsidR="002606B1" w:rsidRPr="00C42B44" w:rsidRDefault="002606B1" w:rsidP="00931423">
            <w:pPr>
              <w:pStyle w:val="QRCbodytext"/>
            </w:pPr>
          </w:p>
        </w:tc>
        <w:tc>
          <w:tcPr>
            <w:tcW w:w="1225" w:type="dxa"/>
            <w:shd w:val="clear" w:color="auto" w:fill="auto"/>
          </w:tcPr>
          <w:p w:rsidR="002606B1" w:rsidRPr="00C42B44" w:rsidRDefault="002606B1" w:rsidP="00931423">
            <w:pPr>
              <w:pStyle w:val="QRCbodytext"/>
            </w:pPr>
          </w:p>
        </w:tc>
        <w:tc>
          <w:tcPr>
            <w:tcW w:w="1226" w:type="dxa"/>
            <w:shd w:val="clear" w:color="auto" w:fill="auto"/>
          </w:tcPr>
          <w:p w:rsidR="002606B1" w:rsidRPr="00C42B44" w:rsidRDefault="002606B1" w:rsidP="00931423">
            <w:pPr>
              <w:pStyle w:val="QRCbodytext"/>
            </w:pPr>
          </w:p>
        </w:tc>
        <w:tc>
          <w:tcPr>
            <w:tcW w:w="1225" w:type="dxa"/>
            <w:shd w:val="clear" w:color="auto" w:fill="auto"/>
          </w:tcPr>
          <w:p w:rsidR="002606B1" w:rsidRPr="00C42B44" w:rsidRDefault="002606B1" w:rsidP="00931423">
            <w:pPr>
              <w:pStyle w:val="QRCbodytext"/>
            </w:pPr>
          </w:p>
        </w:tc>
        <w:tc>
          <w:tcPr>
            <w:tcW w:w="1226" w:type="dxa"/>
            <w:shd w:val="clear" w:color="auto" w:fill="auto"/>
          </w:tcPr>
          <w:p w:rsidR="002606B1" w:rsidRPr="00C42B44" w:rsidRDefault="002606B1" w:rsidP="00931423">
            <w:pPr>
              <w:pStyle w:val="QRCbodytext"/>
            </w:pPr>
          </w:p>
        </w:tc>
      </w:tr>
      <w:tr w:rsidR="002606B1" w:rsidRPr="00C42B44" w:rsidTr="00931423">
        <w:tc>
          <w:tcPr>
            <w:tcW w:w="1345" w:type="dxa"/>
            <w:shd w:val="clear" w:color="auto" w:fill="F2F2F2" w:themeFill="background1" w:themeFillShade="F2"/>
          </w:tcPr>
          <w:p w:rsidR="002606B1" w:rsidRPr="006C2870" w:rsidRDefault="002606B1" w:rsidP="00931423">
            <w:pPr>
              <w:pStyle w:val="QRCbodytext"/>
              <w:rPr>
                <w:sz w:val="18"/>
                <w:szCs w:val="18"/>
              </w:rPr>
            </w:pPr>
            <w:r w:rsidRPr="006C2870">
              <w:rPr>
                <w:sz w:val="18"/>
                <w:szCs w:val="18"/>
              </w:rPr>
              <w:t>GL Account Balances – Prior Year Ending Balances, Current Year Opening Balances and Current Year Ending Balances</w:t>
            </w:r>
          </w:p>
        </w:tc>
        <w:tc>
          <w:tcPr>
            <w:tcW w:w="1107" w:type="dxa"/>
            <w:shd w:val="clear" w:color="auto" w:fill="F2F2F2" w:themeFill="background1" w:themeFillShade="F2"/>
          </w:tcPr>
          <w:p w:rsidR="002606B1" w:rsidRPr="006C2870" w:rsidRDefault="002606B1" w:rsidP="00931423">
            <w:pPr>
              <w:pStyle w:val="QRCbodytext"/>
              <w:rPr>
                <w:sz w:val="18"/>
                <w:szCs w:val="18"/>
              </w:rPr>
            </w:pPr>
            <w:r w:rsidRPr="006C2870">
              <w:rPr>
                <w:sz w:val="18"/>
                <w:szCs w:val="18"/>
              </w:rPr>
              <w:t>Delimited flat file (.txt)</w:t>
            </w:r>
          </w:p>
        </w:tc>
        <w:tc>
          <w:tcPr>
            <w:tcW w:w="1227" w:type="dxa"/>
            <w:shd w:val="clear" w:color="auto" w:fill="F2F2F2" w:themeFill="background1" w:themeFillShade="F2"/>
          </w:tcPr>
          <w:p w:rsidR="002606B1" w:rsidRPr="00C42B44" w:rsidRDefault="002606B1" w:rsidP="00931423">
            <w:pPr>
              <w:pStyle w:val="QRCbodytext"/>
            </w:pPr>
          </w:p>
        </w:tc>
        <w:tc>
          <w:tcPr>
            <w:tcW w:w="1225" w:type="dxa"/>
            <w:shd w:val="clear" w:color="auto" w:fill="F2F2F2" w:themeFill="background1" w:themeFillShade="F2"/>
          </w:tcPr>
          <w:p w:rsidR="002606B1" w:rsidRPr="00C42B44" w:rsidRDefault="002606B1" w:rsidP="00931423">
            <w:pPr>
              <w:pStyle w:val="QRCbodytext"/>
            </w:pPr>
          </w:p>
        </w:tc>
        <w:tc>
          <w:tcPr>
            <w:tcW w:w="1225" w:type="dxa"/>
            <w:shd w:val="clear" w:color="auto" w:fill="F2F2F2" w:themeFill="background1" w:themeFillShade="F2"/>
          </w:tcPr>
          <w:p w:rsidR="002606B1" w:rsidRPr="00C42B44" w:rsidRDefault="002606B1" w:rsidP="00931423">
            <w:pPr>
              <w:pStyle w:val="QRCbodytext"/>
            </w:pPr>
          </w:p>
        </w:tc>
        <w:tc>
          <w:tcPr>
            <w:tcW w:w="1226" w:type="dxa"/>
            <w:shd w:val="clear" w:color="auto" w:fill="F2F2F2" w:themeFill="background1" w:themeFillShade="F2"/>
          </w:tcPr>
          <w:p w:rsidR="002606B1" w:rsidRPr="00C42B44" w:rsidRDefault="002606B1" w:rsidP="00931423">
            <w:pPr>
              <w:pStyle w:val="QRCbodytext"/>
            </w:pPr>
          </w:p>
        </w:tc>
        <w:tc>
          <w:tcPr>
            <w:tcW w:w="1225" w:type="dxa"/>
            <w:shd w:val="clear" w:color="auto" w:fill="F2F2F2" w:themeFill="background1" w:themeFillShade="F2"/>
          </w:tcPr>
          <w:p w:rsidR="002606B1" w:rsidRPr="00C42B44" w:rsidRDefault="002606B1" w:rsidP="00931423">
            <w:pPr>
              <w:pStyle w:val="QRCbodytext"/>
            </w:pPr>
          </w:p>
        </w:tc>
        <w:tc>
          <w:tcPr>
            <w:tcW w:w="1226" w:type="dxa"/>
            <w:shd w:val="clear" w:color="auto" w:fill="F2F2F2" w:themeFill="background1" w:themeFillShade="F2"/>
          </w:tcPr>
          <w:p w:rsidR="002606B1" w:rsidRPr="00C42B44" w:rsidRDefault="002606B1" w:rsidP="00931423">
            <w:pPr>
              <w:pStyle w:val="QRCbodytext"/>
            </w:pPr>
          </w:p>
        </w:tc>
      </w:tr>
      <w:tr w:rsidR="002606B1" w:rsidRPr="00C42B44" w:rsidTr="00931423">
        <w:tc>
          <w:tcPr>
            <w:tcW w:w="9806" w:type="dxa"/>
            <w:gridSpan w:val="8"/>
            <w:shd w:val="clear" w:color="auto" w:fill="FFFFFF" w:themeFill="background1"/>
          </w:tcPr>
          <w:p w:rsidR="002606B1" w:rsidRPr="00C42B44" w:rsidRDefault="002606B1" w:rsidP="00931423">
            <w:pPr>
              <w:pStyle w:val="QRCbodytext"/>
              <w:rPr>
                <w:b/>
              </w:rPr>
            </w:pPr>
            <w:r>
              <w:t xml:space="preserve">* </w:t>
            </w:r>
            <w:r w:rsidRPr="00383B8E">
              <w:rPr>
                <w:i/>
                <w:sz w:val="16"/>
                <w:szCs w:val="16"/>
              </w:rPr>
              <w:t xml:space="preserve">The minimum data requirements for KPMG Clara will differ depending upon which </w:t>
            </w:r>
            <w:r>
              <w:rPr>
                <w:i/>
                <w:sz w:val="16"/>
                <w:szCs w:val="16"/>
              </w:rPr>
              <w:t>A</w:t>
            </w:r>
            <w:r w:rsidRPr="00383B8E">
              <w:rPr>
                <w:i/>
                <w:sz w:val="16"/>
                <w:szCs w:val="16"/>
              </w:rPr>
              <w:t xml:space="preserve">dvanced </w:t>
            </w:r>
            <w:r>
              <w:rPr>
                <w:i/>
                <w:sz w:val="16"/>
                <w:szCs w:val="16"/>
              </w:rPr>
              <w:t>C</w:t>
            </w:r>
            <w:r w:rsidRPr="00383B8E">
              <w:rPr>
                <w:i/>
                <w:sz w:val="16"/>
                <w:szCs w:val="16"/>
              </w:rPr>
              <w:t xml:space="preserve">apabilities the engagement team plans to use. The list of data files above, which assumes all KPMG Clara </w:t>
            </w:r>
            <w:r>
              <w:rPr>
                <w:i/>
                <w:sz w:val="16"/>
                <w:szCs w:val="16"/>
              </w:rPr>
              <w:t>A</w:t>
            </w:r>
            <w:r w:rsidRPr="00383B8E">
              <w:rPr>
                <w:i/>
                <w:sz w:val="16"/>
                <w:szCs w:val="16"/>
              </w:rPr>
              <w:t xml:space="preserve">dvanced </w:t>
            </w:r>
            <w:r>
              <w:rPr>
                <w:i/>
                <w:sz w:val="16"/>
                <w:szCs w:val="16"/>
              </w:rPr>
              <w:t>C</w:t>
            </w:r>
            <w:r w:rsidRPr="00383B8E">
              <w:rPr>
                <w:i/>
                <w:sz w:val="16"/>
                <w:szCs w:val="16"/>
              </w:rPr>
              <w:t>apabilities are being used, should be tailored based upon the engagement specific circumstances.</w:t>
            </w:r>
          </w:p>
        </w:tc>
      </w:tr>
    </w:tbl>
    <w:p w:rsidR="002606B1" w:rsidRPr="00C42B44" w:rsidRDefault="002606B1" w:rsidP="002606B1">
      <w:pPr>
        <w:pStyle w:val="QRCboldsub-title"/>
        <w:widowControl/>
        <w:numPr>
          <w:ilvl w:val="0"/>
          <w:numId w:val="2"/>
        </w:numPr>
        <w:ind w:left="720"/>
      </w:pPr>
      <w:bookmarkStart w:id="253" w:name="_Toc453227627"/>
      <w:r w:rsidRPr="00C42B44">
        <w:t>Import data verification</w:t>
      </w:r>
      <w:bookmarkEnd w:id="253"/>
    </w:p>
    <w:p w:rsidR="002606B1" w:rsidRPr="00C42B44" w:rsidRDefault="002606B1" w:rsidP="002606B1">
      <w:pPr>
        <w:pStyle w:val="QRCbodytext"/>
      </w:pPr>
      <w:r w:rsidRPr="00C42B44">
        <w:t>For each data file used, document the procedures performed to verify that the data has been completely and accurately extracted from the client's system and imported into KPMG Clara. These may include:</w:t>
      </w:r>
    </w:p>
    <w:p w:rsidR="002606B1" w:rsidRPr="00C42B44" w:rsidRDefault="002606B1" w:rsidP="002606B1">
      <w:pPr>
        <w:pStyle w:val="QRCBullet1"/>
        <w:widowControl/>
        <w:tabs>
          <w:tab w:val="clear" w:pos="360"/>
        </w:tabs>
        <w:spacing w:before="60" w:after="60"/>
        <w:ind w:left="450" w:hanging="360"/>
      </w:pPr>
      <w:r w:rsidRPr="00C42B44">
        <w:t>reconciling the data file imported to the entity’s source data</w:t>
      </w:r>
    </w:p>
    <w:p w:rsidR="002606B1" w:rsidRPr="00C42B44" w:rsidRDefault="002606B1" w:rsidP="002606B1">
      <w:pPr>
        <w:pStyle w:val="QRCBullet1"/>
        <w:widowControl/>
        <w:tabs>
          <w:tab w:val="clear" w:pos="360"/>
        </w:tabs>
        <w:spacing w:before="60" w:after="60"/>
        <w:ind w:left="450" w:hanging="360"/>
      </w:pPr>
      <w:r w:rsidRPr="00C42B44">
        <w:t>checking the appropriateness of the parameters used</w:t>
      </w:r>
      <w:r w:rsidRPr="00C42B44">
        <w:rPr>
          <w:rStyle w:val="FootnoteReference"/>
        </w:rPr>
        <w:footnoteReference w:id="2"/>
      </w:r>
    </w:p>
    <w:p w:rsidR="002606B1" w:rsidRPr="00C42B44" w:rsidRDefault="002606B1" w:rsidP="002606B1">
      <w:pPr>
        <w:pStyle w:val="QRCBullet1"/>
        <w:widowControl/>
        <w:tabs>
          <w:tab w:val="clear" w:pos="360"/>
        </w:tabs>
        <w:spacing w:before="60" w:after="60"/>
        <w:ind w:left="450" w:hanging="360"/>
      </w:pPr>
      <w:r w:rsidRPr="00C42B44">
        <w:t>checking the logic of the equation and/or programming of the extraction routine for consistency with our audit procedures</w:t>
      </w:r>
      <w:r w:rsidRPr="00F67609">
        <w:rPr>
          <w:vertAlign w:val="superscript"/>
        </w:rPr>
        <w:t>1</w:t>
      </w:r>
      <w:r>
        <w:t>.</w:t>
      </w:r>
    </w:p>
    <w:tbl>
      <w:tblPr>
        <w:tblStyle w:val="TableGrid"/>
        <w:tblW w:w="9806" w:type="dxa"/>
        <w:tblLayout w:type="fixed"/>
        <w:tblLook w:val="04A0" w:firstRow="1" w:lastRow="0" w:firstColumn="1" w:lastColumn="0" w:noHBand="0" w:noVBand="1"/>
      </w:tblPr>
      <w:tblGrid>
        <w:gridCol w:w="1722"/>
        <w:gridCol w:w="2773"/>
        <w:gridCol w:w="5311"/>
      </w:tblGrid>
      <w:tr w:rsidR="002606B1" w:rsidRPr="00C42B44" w:rsidTr="00931423">
        <w:trPr>
          <w:tblHeader/>
        </w:trPr>
        <w:tc>
          <w:tcPr>
            <w:tcW w:w="1722" w:type="dxa"/>
            <w:shd w:val="clear" w:color="auto" w:fill="D9D9D9" w:themeFill="background1" w:themeFillShade="D9"/>
          </w:tcPr>
          <w:p w:rsidR="002606B1" w:rsidRPr="006C2870" w:rsidRDefault="002606B1" w:rsidP="00931423">
            <w:pPr>
              <w:pStyle w:val="QRCbodytext"/>
              <w:rPr>
                <w:b/>
                <w:sz w:val="16"/>
                <w:szCs w:val="16"/>
              </w:rPr>
            </w:pPr>
            <w:r w:rsidRPr="006C2870">
              <w:rPr>
                <w:b/>
                <w:sz w:val="16"/>
                <w:szCs w:val="16"/>
              </w:rPr>
              <w:t>KPMG Clara</w:t>
            </w:r>
            <w:r w:rsidRPr="006C2870" w:rsidDel="00FF0BC5">
              <w:rPr>
                <w:b/>
                <w:sz w:val="16"/>
                <w:szCs w:val="16"/>
              </w:rPr>
              <w:t xml:space="preserve"> </w:t>
            </w:r>
            <w:r w:rsidRPr="006C2870">
              <w:rPr>
                <w:b/>
                <w:sz w:val="16"/>
                <w:szCs w:val="16"/>
              </w:rPr>
              <w:t>imported data file name</w:t>
            </w:r>
          </w:p>
        </w:tc>
        <w:tc>
          <w:tcPr>
            <w:tcW w:w="2773" w:type="dxa"/>
            <w:shd w:val="clear" w:color="auto" w:fill="D9D9D9" w:themeFill="background1" w:themeFillShade="D9"/>
          </w:tcPr>
          <w:p w:rsidR="002606B1" w:rsidRPr="006C2870" w:rsidRDefault="002606B1" w:rsidP="00931423">
            <w:pPr>
              <w:pStyle w:val="QRCbodytext"/>
              <w:rPr>
                <w:b/>
                <w:sz w:val="16"/>
                <w:szCs w:val="16"/>
              </w:rPr>
            </w:pPr>
            <w:r w:rsidRPr="006C2870">
              <w:rPr>
                <w:b/>
                <w:sz w:val="16"/>
                <w:szCs w:val="16"/>
              </w:rPr>
              <w:t>Performed by KPMG Clara</w:t>
            </w:r>
          </w:p>
        </w:tc>
        <w:tc>
          <w:tcPr>
            <w:tcW w:w="5311" w:type="dxa"/>
            <w:shd w:val="clear" w:color="auto" w:fill="D9D9D9" w:themeFill="background1" w:themeFillShade="D9"/>
          </w:tcPr>
          <w:p w:rsidR="002606B1" w:rsidRPr="006C2870" w:rsidRDefault="002606B1" w:rsidP="00931423">
            <w:pPr>
              <w:pStyle w:val="QRCbodytext"/>
              <w:rPr>
                <w:b/>
                <w:sz w:val="16"/>
                <w:szCs w:val="16"/>
              </w:rPr>
            </w:pPr>
            <w:r w:rsidRPr="006C2870">
              <w:rPr>
                <w:b/>
                <w:sz w:val="16"/>
                <w:szCs w:val="16"/>
              </w:rPr>
              <w:t>Performed by Engagement team (include statement confirming that validation was successful or resolution if not successful)</w:t>
            </w:r>
          </w:p>
        </w:tc>
      </w:tr>
      <w:tr w:rsidR="002606B1" w:rsidRPr="00C42B44" w:rsidTr="00931423">
        <w:tc>
          <w:tcPr>
            <w:tcW w:w="1722" w:type="dxa"/>
            <w:tcBorders>
              <w:bottom w:val="dotted" w:sz="4" w:space="0" w:color="auto"/>
            </w:tcBorders>
            <w:shd w:val="clear" w:color="auto" w:fill="F2F2F2" w:themeFill="background1" w:themeFillShade="F2"/>
          </w:tcPr>
          <w:p w:rsidR="002606B1" w:rsidRPr="006C2870" w:rsidRDefault="002606B1" w:rsidP="00931423">
            <w:pPr>
              <w:pStyle w:val="QRCbodytext"/>
              <w:rPr>
                <w:sz w:val="18"/>
                <w:szCs w:val="18"/>
              </w:rPr>
            </w:pPr>
            <w:r w:rsidRPr="006C2870">
              <w:rPr>
                <w:sz w:val="18"/>
                <w:szCs w:val="18"/>
              </w:rPr>
              <w:t>GL Accounts</w:t>
            </w:r>
          </w:p>
          <w:p w:rsidR="002606B1" w:rsidRPr="006C2870" w:rsidRDefault="002606B1" w:rsidP="00931423">
            <w:pPr>
              <w:pStyle w:val="QRCbodytext"/>
              <w:rPr>
                <w:sz w:val="18"/>
                <w:szCs w:val="18"/>
              </w:rPr>
            </w:pPr>
            <w:r>
              <w:rPr>
                <w:sz w:val="18"/>
                <w:szCs w:val="18"/>
              </w:rPr>
              <w:t>JE Transactions</w:t>
            </w:r>
          </w:p>
          <w:p w:rsidR="002606B1" w:rsidRPr="006C2870" w:rsidRDefault="002606B1" w:rsidP="00931423">
            <w:pPr>
              <w:pStyle w:val="QRCbodytext"/>
              <w:rPr>
                <w:sz w:val="18"/>
                <w:szCs w:val="18"/>
              </w:rPr>
            </w:pPr>
            <w:r>
              <w:rPr>
                <w:sz w:val="18"/>
                <w:szCs w:val="18"/>
              </w:rPr>
              <w:t>GL Account Balances</w:t>
            </w:r>
          </w:p>
        </w:tc>
        <w:tc>
          <w:tcPr>
            <w:tcW w:w="2773" w:type="dxa"/>
            <w:tcBorders>
              <w:bottom w:val="dotted" w:sz="4" w:space="0" w:color="auto"/>
            </w:tcBorders>
            <w:shd w:val="clear" w:color="auto" w:fill="F2F2F2" w:themeFill="background1" w:themeFillShade="F2"/>
          </w:tcPr>
          <w:p w:rsidR="002606B1" w:rsidRPr="006C2870" w:rsidRDefault="002606B1" w:rsidP="00931423">
            <w:pPr>
              <w:pStyle w:val="QRCbodytext"/>
              <w:rPr>
                <w:sz w:val="18"/>
                <w:szCs w:val="18"/>
              </w:rPr>
            </w:pPr>
            <w:r w:rsidRPr="006C2870">
              <w:rPr>
                <w:sz w:val="18"/>
                <w:szCs w:val="18"/>
              </w:rPr>
              <w:t xml:space="preserve">Compare the general ledger accounts listed in the GL Accounts data file to JE Transactions and GL Account Balances data files to verify that all general ledger accounts contained in the JE </w:t>
            </w:r>
            <w:r w:rsidRPr="006C2870">
              <w:rPr>
                <w:sz w:val="18"/>
                <w:szCs w:val="18"/>
              </w:rPr>
              <w:lastRenderedPageBreak/>
              <w:t>Transactions and GL Account Balances data files are inc</w:t>
            </w:r>
            <w:r>
              <w:rPr>
                <w:sz w:val="18"/>
                <w:szCs w:val="18"/>
              </w:rPr>
              <w:t>luded in the GL Accounts file.</w:t>
            </w:r>
          </w:p>
        </w:tc>
        <w:tc>
          <w:tcPr>
            <w:tcW w:w="5311" w:type="dxa"/>
            <w:tcBorders>
              <w:bottom w:val="dotted" w:sz="4" w:space="0" w:color="auto"/>
            </w:tcBorders>
            <w:shd w:val="clear" w:color="auto" w:fill="F2F2F2" w:themeFill="background1" w:themeFillShade="F2"/>
          </w:tcPr>
          <w:p w:rsidR="002606B1" w:rsidRPr="006C2870" w:rsidRDefault="002606B1" w:rsidP="00931423">
            <w:pPr>
              <w:pStyle w:val="QRCbodytext"/>
              <w:rPr>
                <w:sz w:val="18"/>
                <w:szCs w:val="18"/>
              </w:rPr>
            </w:pPr>
            <w:r w:rsidRPr="006C2870">
              <w:rPr>
                <w:sz w:val="18"/>
                <w:szCs w:val="18"/>
              </w:rPr>
              <w:lastRenderedPageBreak/>
              <w:t>[</w:t>
            </w:r>
            <w:r w:rsidRPr="006C2870">
              <w:rPr>
                <w:i/>
                <w:sz w:val="18"/>
                <w:szCs w:val="18"/>
              </w:rPr>
              <w:t xml:space="preserve">If validation </w:t>
            </w:r>
            <w:proofErr w:type="gramStart"/>
            <w:r w:rsidRPr="006C2870">
              <w:rPr>
                <w:i/>
                <w:sz w:val="18"/>
                <w:szCs w:val="18"/>
              </w:rPr>
              <w:t>does not succeed</w:t>
            </w:r>
            <w:proofErr w:type="gramEnd"/>
            <w:r w:rsidRPr="006C2870">
              <w:rPr>
                <w:i/>
                <w:sz w:val="18"/>
                <w:szCs w:val="18"/>
              </w:rPr>
              <w:t>, investigate any differences and amend the imported data as necessary. If necessary, obtain and re-import the corrected GL Accounts. An exception report is available in the Status Report window of the Data Management tool which may assist in facilitating a request for correct data</w:t>
            </w:r>
            <w:r>
              <w:rPr>
                <w:sz w:val="18"/>
                <w:szCs w:val="18"/>
              </w:rPr>
              <w:t>]</w:t>
            </w:r>
          </w:p>
        </w:tc>
      </w:tr>
      <w:tr w:rsidR="002606B1" w:rsidRPr="00C42B44" w:rsidTr="00931423">
        <w:tc>
          <w:tcPr>
            <w:tcW w:w="1722" w:type="dxa"/>
            <w:tcBorders>
              <w:bottom w:val="dotted" w:sz="4" w:space="0" w:color="auto"/>
            </w:tcBorders>
          </w:tcPr>
          <w:p w:rsidR="002606B1" w:rsidRPr="006C2870" w:rsidRDefault="002606B1" w:rsidP="00931423">
            <w:pPr>
              <w:pStyle w:val="QRCbodytext"/>
              <w:rPr>
                <w:sz w:val="18"/>
                <w:szCs w:val="18"/>
              </w:rPr>
            </w:pPr>
            <w:r w:rsidRPr="006C2870">
              <w:rPr>
                <w:sz w:val="18"/>
                <w:szCs w:val="18"/>
              </w:rPr>
              <w:t xml:space="preserve">JE Transactions </w:t>
            </w:r>
            <w:r w:rsidRPr="006C2870">
              <w:rPr>
                <w:b/>
                <w:sz w:val="18"/>
                <w:szCs w:val="18"/>
              </w:rPr>
              <w:t>(a)</w:t>
            </w:r>
          </w:p>
          <w:p w:rsidR="002606B1" w:rsidRPr="006C2870" w:rsidRDefault="002606B1" w:rsidP="00931423">
            <w:pPr>
              <w:pStyle w:val="QRCbodytext"/>
              <w:rPr>
                <w:sz w:val="18"/>
                <w:szCs w:val="18"/>
              </w:rPr>
            </w:pPr>
            <w:r w:rsidRPr="006C2870">
              <w:rPr>
                <w:sz w:val="18"/>
                <w:szCs w:val="18"/>
              </w:rPr>
              <w:t xml:space="preserve">GL Account Balances - opening balances </w:t>
            </w:r>
            <w:r w:rsidRPr="006C2870">
              <w:rPr>
                <w:b/>
                <w:sz w:val="18"/>
                <w:szCs w:val="18"/>
              </w:rPr>
              <w:t>(a)</w:t>
            </w:r>
          </w:p>
        </w:tc>
        <w:tc>
          <w:tcPr>
            <w:tcW w:w="2773" w:type="dxa"/>
            <w:tcBorders>
              <w:bottom w:val="dotted" w:sz="4" w:space="0" w:color="auto"/>
            </w:tcBorders>
          </w:tcPr>
          <w:p w:rsidR="002606B1" w:rsidRPr="006C2870" w:rsidRDefault="002606B1" w:rsidP="00931423">
            <w:pPr>
              <w:pStyle w:val="QRCbodytext"/>
              <w:rPr>
                <w:sz w:val="18"/>
                <w:szCs w:val="18"/>
              </w:rPr>
            </w:pPr>
            <w:r w:rsidRPr="006C2870">
              <w:rPr>
                <w:sz w:val="18"/>
                <w:szCs w:val="18"/>
              </w:rPr>
              <w:t xml:space="preserve">Using the GL Account Balances and JE Transactions data files, KPMG Clara recreates the trial balance as of the period end date (Refer to the </w:t>
            </w:r>
            <w:r>
              <w:rPr>
                <w:i/>
                <w:sz w:val="18"/>
                <w:szCs w:val="18"/>
              </w:rPr>
              <w:t xml:space="preserve">Validate &amp; Confirm </w:t>
            </w:r>
            <w:r w:rsidRPr="006C2870">
              <w:rPr>
                <w:sz w:val="18"/>
                <w:szCs w:val="18"/>
              </w:rPr>
              <w:t xml:space="preserve">screen </w:t>
            </w:r>
            <w:r>
              <w:rPr>
                <w:sz w:val="18"/>
                <w:szCs w:val="18"/>
              </w:rPr>
              <w:t xml:space="preserve">with the Trial Balance Report </w:t>
            </w:r>
            <w:r w:rsidRPr="006C2870">
              <w:rPr>
                <w:sz w:val="18"/>
                <w:szCs w:val="18"/>
              </w:rPr>
              <w:t>or the</w:t>
            </w:r>
            <w:r w:rsidRPr="006C2870">
              <w:rPr>
                <w:i/>
                <w:sz w:val="18"/>
                <w:szCs w:val="18"/>
              </w:rPr>
              <w:t xml:space="preserve"> Reconciliation/Rollforward screen in Planning Analytics</w:t>
            </w:r>
            <w:r w:rsidRPr="006C2870">
              <w:rPr>
                <w:sz w:val="18"/>
                <w:szCs w:val="18"/>
              </w:rPr>
              <w:t>) to verify that the GL Accounts - Opening balances plus the JE Transaction data imported reconciles to the GL Account - closing balance.</w:t>
            </w:r>
          </w:p>
        </w:tc>
        <w:tc>
          <w:tcPr>
            <w:tcW w:w="5311" w:type="dxa"/>
            <w:tcBorders>
              <w:bottom w:val="dotted" w:sz="4" w:space="0" w:color="auto"/>
            </w:tcBorders>
          </w:tcPr>
          <w:p w:rsidR="002606B1" w:rsidRPr="006C2870" w:rsidRDefault="002606B1" w:rsidP="00931423">
            <w:pPr>
              <w:pStyle w:val="QRCbodytext"/>
              <w:rPr>
                <w:sz w:val="18"/>
                <w:szCs w:val="18"/>
              </w:rPr>
            </w:pPr>
            <w:r w:rsidRPr="006C2870">
              <w:rPr>
                <w:sz w:val="18"/>
                <w:szCs w:val="18"/>
              </w:rPr>
              <w:t>[</w:t>
            </w:r>
            <w:r>
              <w:rPr>
                <w:i/>
                <w:sz w:val="18"/>
                <w:szCs w:val="18"/>
              </w:rPr>
              <w:t>Use</w:t>
            </w:r>
            <w:r w:rsidRPr="006C2870">
              <w:rPr>
                <w:i/>
                <w:sz w:val="18"/>
                <w:szCs w:val="18"/>
              </w:rPr>
              <w:t xml:space="preserve"> the </w:t>
            </w:r>
            <w:r>
              <w:rPr>
                <w:i/>
                <w:sz w:val="18"/>
                <w:szCs w:val="18"/>
              </w:rPr>
              <w:t>Trial Balance Report</w:t>
            </w:r>
            <w:r w:rsidRPr="006C2870">
              <w:rPr>
                <w:i/>
                <w:sz w:val="18"/>
                <w:szCs w:val="18"/>
              </w:rPr>
              <w:t xml:space="preserve"> (refer to the Reports screen) </w:t>
            </w:r>
            <w:r>
              <w:rPr>
                <w:i/>
                <w:sz w:val="18"/>
                <w:szCs w:val="18"/>
              </w:rPr>
              <w:t xml:space="preserve">for an automated comparison </w:t>
            </w:r>
            <w:r w:rsidRPr="006C2870">
              <w:rPr>
                <w:i/>
                <w:sz w:val="18"/>
                <w:szCs w:val="18"/>
              </w:rPr>
              <w:t xml:space="preserve">to the detailed trial balance provided by the entity or use the Reconciliation/Rollforward screen in Planning Analytics. If the validation </w:t>
            </w:r>
            <w:proofErr w:type="gramStart"/>
            <w:r w:rsidRPr="006C2870">
              <w:rPr>
                <w:i/>
                <w:sz w:val="18"/>
                <w:szCs w:val="18"/>
              </w:rPr>
              <w:t>does not succeed</w:t>
            </w:r>
            <w:proofErr w:type="gramEnd"/>
            <w:r w:rsidRPr="006C2870">
              <w:rPr>
                <w:i/>
                <w:sz w:val="18"/>
                <w:szCs w:val="18"/>
              </w:rPr>
              <w:t>, investigate any differences. Request corrected GL Account Balances or Journal Entry Transaction data files and re-import the corrected data</w:t>
            </w:r>
            <w:r w:rsidRPr="006C2870">
              <w:rPr>
                <w:sz w:val="18"/>
                <w:szCs w:val="18"/>
              </w:rPr>
              <w:t>.]</w:t>
            </w:r>
          </w:p>
        </w:tc>
      </w:tr>
      <w:tr w:rsidR="002606B1" w:rsidRPr="00C42B44" w:rsidTr="00931423">
        <w:tc>
          <w:tcPr>
            <w:tcW w:w="1722" w:type="dxa"/>
            <w:shd w:val="clear" w:color="auto" w:fill="F2F2F2" w:themeFill="background1" w:themeFillShade="F2"/>
          </w:tcPr>
          <w:p w:rsidR="002606B1" w:rsidRPr="006C2870" w:rsidRDefault="002606B1" w:rsidP="00931423">
            <w:pPr>
              <w:pStyle w:val="QRCbodytext"/>
              <w:rPr>
                <w:sz w:val="18"/>
                <w:szCs w:val="18"/>
                <w:lang w:val="fr-FR"/>
              </w:rPr>
            </w:pPr>
            <w:r w:rsidRPr="006C2870">
              <w:rPr>
                <w:sz w:val="18"/>
                <w:szCs w:val="18"/>
                <w:lang w:val="fr-FR"/>
              </w:rPr>
              <w:t xml:space="preserve">JE Transactions </w:t>
            </w:r>
            <w:r w:rsidRPr="006C2870">
              <w:rPr>
                <w:b/>
                <w:sz w:val="18"/>
                <w:szCs w:val="18"/>
                <w:lang w:val="fr-FR"/>
              </w:rPr>
              <w:t>(a) (b)</w:t>
            </w:r>
          </w:p>
        </w:tc>
        <w:tc>
          <w:tcPr>
            <w:tcW w:w="2773" w:type="dxa"/>
            <w:shd w:val="clear" w:color="auto" w:fill="F2F2F2" w:themeFill="background1" w:themeFillShade="F2"/>
          </w:tcPr>
          <w:p w:rsidR="002606B1" w:rsidRPr="006C2870" w:rsidRDefault="002606B1" w:rsidP="00931423">
            <w:pPr>
              <w:pStyle w:val="QRCbodytext"/>
              <w:rPr>
                <w:sz w:val="18"/>
                <w:szCs w:val="18"/>
              </w:rPr>
            </w:pPr>
            <w:r w:rsidRPr="006C2870">
              <w:rPr>
                <w:sz w:val="18"/>
                <w:szCs w:val="18"/>
              </w:rPr>
              <w:t>Verify that the sum of period journal debit entries equals the sum of credit entries in the JE Transactions data file.</w:t>
            </w:r>
          </w:p>
        </w:tc>
        <w:tc>
          <w:tcPr>
            <w:tcW w:w="5311" w:type="dxa"/>
            <w:shd w:val="clear" w:color="auto" w:fill="F2F2F2" w:themeFill="background1" w:themeFillShade="F2"/>
          </w:tcPr>
          <w:p w:rsidR="002606B1" w:rsidRPr="006C2870" w:rsidRDefault="002606B1" w:rsidP="00931423">
            <w:pPr>
              <w:pStyle w:val="QRCbodytext"/>
              <w:rPr>
                <w:i/>
                <w:sz w:val="18"/>
                <w:szCs w:val="18"/>
              </w:rPr>
            </w:pPr>
            <w:r w:rsidRPr="006C2870">
              <w:rPr>
                <w:sz w:val="18"/>
                <w:szCs w:val="18"/>
              </w:rPr>
              <w:t>[</w:t>
            </w:r>
            <w:r w:rsidRPr="006C2870">
              <w:rPr>
                <w:i/>
                <w:sz w:val="18"/>
                <w:szCs w:val="18"/>
              </w:rPr>
              <w:t xml:space="preserve">If validation </w:t>
            </w:r>
            <w:proofErr w:type="gramStart"/>
            <w:r w:rsidRPr="006C2870">
              <w:rPr>
                <w:i/>
                <w:sz w:val="18"/>
                <w:szCs w:val="18"/>
              </w:rPr>
              <w:t>does not succeed</w:t>
            </w:r>
            <w:proofErr w:type="gramEnd"/>
            <w:r w:rsidRPr="006C2870">
              <w:rPr>
                <w:i/>
                <w:sz w:val="18"/>
                <w:szCs w:val="18"/>
              </w:rPr>
              <w:t>, investigate any differences. An exception report is available in the Data Validation window of the Data Management-Transform</w:t>
            </w:r>
            <w:r>
              <w:rPr>
                <w:i/>
                <w:sz w:val="18"/>
                <w:szCs w:val="18"/>
              </w:rPr>
              <w:t>ation</w:t>
            </w:r>
            <w:r w:rsidRPr="006C2870">
              <w:rPr>
                <w:i/>
                <w:sz w:val="18"/>
                <w:szCs w:val="18"/>
              </w:rPr>
              <w:t xml:space="preserve"> screen that may assist in facilitating a request for new data. Obtain correct JE Transactions data file and re-import.] [If the engagement team proceeds to process with out of balance entries, the total amount of out of balance JE should be documented.]</w:t>
            </w:r>
          </w:p>
          <w:p w:rsidR="002606B1" w:rsidRPr="006C2870" w:rsidRDefault="002606B1" w:rsidP="00931423">
            <w:pPr>
              <w:pStyle w:val="QRCbodytext"/>
              <w:rPr>
                <w:sz w:val="18"/>
                <w:szCs w:val="18"/>
              </w:rPr>
            </w:pPr>
            <w:r w:rsidRPr="006C2870">
              <w:rPr>
                <w:i/>
                <w:sz w:val="18"/>
                <w:szCs w:val="18"/>
              </w:rPr>
              <w:t xml:space="preserve">[If validation is successful: </w:t>
            </w:r>
            <w:r>
              <w:rPr>
                <w:i/>
                <w:sz w:val="18"/>
                <w:szCs w:val="18"/>
              </w:rPr>
              <w:t xml:space="preserve">use </w:t>
            </w:r>
            <w:r w:rsidRPr="006C2870">
              <w:rPr>
                <w:i/>
                <w:sz w:val="18"/>
                <w:szCs w:val="18"/>
              </w:rPr>
              <w:t xml:space="preserve">the Trial </w:t>
            </w:r>
            <w:r>
              <w:rPr>
                <w:i/>
                <w:sz w:val="18"/>
                <w:szCs w:val="18"/>
              </w:rPr>
              <w:t>b</w:t>
            </w:r>
            <w:r w:rsidRPr="006C2870">
              <w:rPr>
                <w:i/>
                <w:sz w:val="18"/>
                <w:szCs w:val="18"/>
              </w:rPr>
              <w:t xml:space="preserve">alance </w:t>
            </w:r>
            <w:r>
              <w:rPr>
                <w:i/>
                <w:sz w:val="18"/>
                <w:szCs w:val="18"/>
              </w:rPr>
              <w:t>r</w:t>
            </w:r>
            <w:r w:rsidRPr="006C2870">
              <w:rPr>
                <w:i/>
                <w:sz w:val="18"/>
                <w:szCs w:val="18"/>
              </w:rPr>
              <w:t xml:space="preserve">eport </w:t>
            </w:r>
            <w:r>
              <w:rPr>
                <w:i/>
                <w:sz w:val="18"/>
                <w:szCs w:val="18"/>
              </w:rPr>
              <w:t xml:space="preserve">for an automated comparison </w:t>
            </w:r>
            <w:r w:rsidRPr="006C2870">
              <w:rPr>
                <w:i/>
                <w:sz w:val="18"/>
                <w:szCs w:val="18"/>
              </w:rPr>
              <w:t>to the detailed trial balance provided by the entity or use the Reconciliation/Rollforward screen in Planning Analytics</w:t>
            </w:r>
            <w:r w:rsidRPr="006C2870">
              <w:rPr>
                <w:sz w:val="18"/>
                <w:szCs w:val="18"/>
              </w:rPr>
              <w:t>.]</w:t>
            </w:r>
          </w:p>
        </w:tc>
      </w:tr>
      <w:tr w:rsidR="002606B1" w:rsidRPr="00C42B44" w:rsidTr="00931423">
        <w:tc>
          <w:tcPr>
            <w:tcW w:w="1722" w:type="dxa"/>
            <w:shd w:val="clear" w:color="auto" w:fill="auto"/>
          </w:tcPr>
          <w:p w:rsidR="002606B1" w:rsidRPr="006C2870" w:rsidRDefault="002606B1" w:rsidP="00931423">
            <w:pPr>
              <w:pStyle w:val="QRCbodytext"/>
              <w:rPr>
                <w:sz w:val="18"/>
                <w:szCs w:val="18"/>
              </w:rPr>
            </w:pPr>
            <w:r w:rsidRPr="006C2870">
              <w:rPr>
                <w:sz w:val="18"/>
                <w:szCs w:val="18"/>
              </w:rPr>
              <w:t>GL Account Balances</w:t>
            </w:r>
            <w:r w:rsidRPr="006C2870" w:rsidDel="00D37E09">
              <w:rPr>
                <w:b/>
                <w:sz w:val="18"/>
                <w:szCs w:val="18"/>
              </w:rPr>
              <w:t xml:space="preserve"> </w:t>
            </w:r>
            <w:r w:rsidRPr="006C2870">
              <w:rPr>
                <w:b/>
                <w:sz w:val="18"/>
                <w:szCs w:val="18"/>
              </w:rPr>
              <w:t>(a)</w:t>
            </w:r>
          </w:p>
        </w:tc>
        <w:tc>
          <w:tcPr>
            <w:tcW w:w="2773" w:type="dxa"/>
            <w:shd w:val="clear" w:color="auto" w:fill="auto"/>
          </w:tcPr>
          <w:p w:rsidR="002606B1" w:rsidRPr="006C2870" w:rsidRDefault="002606B1" w:rsidP="00931423">
            <w:pPr>
              <w:pStyle w:val="QRCbodytext"/>
              <w:rPr>
                <w:sz w:val="18"/>
                <w:szCs w:val="18"/>
              </w:rPr>
            </w:pPr>
            <w:r w:rsidRPr="006C2870">
              <w:rPr>
                <w:sz w:val="18"/>
                <w:szCs w:val="18"/>
              </w:rPr>
              <w:t xml:space="preserve">Verify that each period in the GL Account </w:t>
            </w:r>
            <w:r>
              <w:rPr>
                <w:sz w:val="18"/>
                <w:szCs w:val="18"/>
              </w:rPr>
              <w:t>Balances file balances to zero.</w:t>
            </w:r>
          </w:p>
        </w:tc>
        <w:tc>
          <w:tcPr>
            <w:tcW w:w="5311" w:type="dxa"/>
            <w:shd w:val="clear" w:color="auto" w:fill="auto"/>
          </w:tcPr>
          <w:p w:rsidR="002606B1" w:rsidRPr="006C2870" w:rsidRDefault="002606B1" w:rsidP="00931423">
            <w:pPr>
              <w:pStyle w:val="QRCbodytext"/>
              <w:rPr>
                <w:sz w:val="18"/>
                <w:szCs w:val="18"/>
              </w:rPr>
            </w:pPr>
            <w:r w:rsidRPr="006C2870">
              <w:rPr>
                <w:sz w:val="18"/>
                <w:szCs w:val="18"/>
              </w:rPr>
              <w:t>[</w:t>
            </w:r>
            <w:r w:rsidRPr="006C2870">
              <w:rPr>
                <w:i/>
                <w:sz w:val="18"/>
                <w:szCs w:val="18"/>
              </w:rPr>
              <w:t xml:space="preserve">If validation </w:t>
            </w:r>
            <w:proofErr w:type="gramStart"/>
            <w:r w:rsidRPr="006C2870">
              <w:rPr>
                <w:i/>
                <w:sz w:val="18"/>
                <w:szCs w:val="18"/>
              </w:rPr>
              <w:t>does not succeed</w:t>
            </w:r>
            <w:proofErr w:type="gramEnd"/>
            <w:r w:rsidRPr="006C2870">
              <w:rPr>
                <w:i/>
                <w:sz w:val="18"/>
                <w:szCs w:val="18"/>
              </w:rPr>
              <w:t>, investigate any differences. An exception report is available in the Data Validation window of the Data Management-Transform</w:t>
            </w:r>
            <w:r>
              <w:rPr>
                <w:i/>
                <w:sz w:val="18"/>
                <w:szCs w:val="18"/>
              </w:rPr>
              <w:t>ation</w:t>
            </w:r>
            <w:r w:rsidRPr="006C2870">
              <w:rPr>
                <w:i/>
                <w:sz w:val="18"/>
                <w:szCs w:val="18"/>
              </w:rPr>
              <w:t xml:space="preserve"> screen that may assist in facilitating a request for new data. Request corrected GL Account Balances data file and re-import the corrected data</w:t>
            </w:r>
            <w:r w:rsidRPr="006C2870">
              <w:rPr>
                <w:sz w:val="18"/>
                <w:szCs w:val="18"/>
              </w:rPr>
              <w:t xml:space="preserve">.] </w:t>
            </w:r>
          </w:p>
          <w:p w:rsidR="002606B1" w:rsidRPr="006C2870" w:rsidRDefault="002606B1" w:rsidP="00931423">
            <w:pPr>
              <w:pStyle w:val="QRCbodytext"/>
              <w:rPr>
                <w:sz w:val="18"/>
                <w:szCs w:val="18"/>
              </w:rPr>
            </w:pPr>
            <w:r w:rsidRPr="006C2870">
              <w:rPr>
                <w:i/>
                <w:sz w:val="18"/>
                <w:szCs w:val="18"/>
              </w:rPr>
              <w:t xml:space="preserve">[If validation is successful: </w:t>
            </w:r>
            <w:r>
              <w:rPr>
                <w:i/>
                <w:sz w:val="18"/>
                <w:szCs w:val="18"/>
              </w:rPr>
              <w:t xml:space="preserve">use </w:t>
            </w:r>
            <w:r w:rsidRPr="006C2870">
              <w:rPr>
                <w:i/>
                <w:sz w:val="18"/>
                <w:szCs w:val="18"/>
              </w:rPr>
              <w:t xml:space="preserve">the </w:t>
            </w:r>
            <w:r>
              <w:rPr>
                <w:i/>
                <w:sz w:val="18"/>
                <w:szCs w:val="18"/>
              </w:rPr>
              <w:t>Trial Balance Report</w:t>
            </w:r>
            <w:r w:rsidRPr="006C2870">
              <w:rPr>
                <w:i/>
                <w:sz w:val="18"/>
                <w:szCs w:val="18"/>
              </w:rPr>
              <w:t xml:space="preserve"> </w:t>
            </w:r>
            <w:r>
              <w:rPr>
                <w:i/>
                <w:sz w:val="18"/>
                <w:szCs w:val="18"/>
              </w:rPr>
              <w:t xml:space="preserve">for an automated comparison </w:t>
            </w:r>
            <w:r w:rsidRPr="006C2870">
              <w:rPr>
                <w:i/>
                <w:sz w:val="18"/>
                <w:szCs w:val="18"/>
              </w:rPr>
              <w:t>to the detailed trial balance provided by the entity or use the Reconciliation/Rollforward screen in Planning Analytics</w:t>
            </w:r>
            <w:r w:rsidRPr="006C2870">
              <w:rPr>
                <w:sz w:val="18"/>
                <w:szCs w:val="18"/>
              </w:rPr>
              <w:t>.]</w:t>
            </w:r>
          </w:p>
        </w:tc>
      </w:tr>
      <w:tr w:rsidR="002606B1" w:rsidTr="00931423">
        <w:trPr>
          <w:trHeight w:val="188"/>
        </w:trPr>
        <w:tc>
          <w:tcPr>
            <w:tcW w:w="9806" w:type="dxa"/>
            <w:gridSpan w:val="3"/>
            <w:shd w:val="clear" w:color="auto" w:fill="auto"/>
          </w:tcPr>
          <w:p w:rsidR="002606B1" w:rsidRPr="00C42B44" w:rsidRDefault="002606B1" w:rsidP="002606B1">
            <w:pPr>
              <w:pStyle w:val="QRCbodytext"/>
              <w:numPr>
                <w:ilvl w:val="0"/>
                <w:numId w:val="4"/>
              </w:numPr>
              <w:ind w:left="337"/>
            </w:pPr>
            <w:r w:rsidRPr="00C42B44">
              <w:t>When GL Account Balances - current period opening balances and JE Transactions files are imported, the period-end trial balance will be created by KPMG Clara</w:t>
            </w:r>
            <w:r w:rsidRPr="00C42B44" w:rsidDel="00FF0BC5">
              <w:t xml:space="preserve"> </w:t>
            </w:r>
            <w:r w:rsidRPr="00C42B44">
              <w:t>(</w:t>
            </w:r>
            <w:r>
              <w:t>Trial Balance Report</w:t>
            </w:r>
            <w:r w:rsidRPr="00C42B44">
              <w:t>) from available opening balances and current year journal entry transactions. A</w:t>
            </w:r>
            <w:r>
              <w:t>n automated</w:t>
            </w:r>
            <w:r w:rsidRPr="00C42B44">
              <w:t xml:space="preserve"> reconciliation is performed by </w:t>
            </w:r>
            <w:r>
              <w:t xml:space="preserve">KPMG Clara </w:t>
            </w:r>
            <w:r w:rsidRPr="00C42B44">
              <w:t>between the created Trial Balance (</w:t>
            </w:r>
            <w:r>
              <w:t>Trial Balance Report</w:t>
            </w:r>
            <w:r w:rsidRPr="00C42B44">
              <w:t>) and the detailed Trial Balance provided by the client</w:t>
            </w:r>
            <w:r>
              <w:t>. This Trial Balance is uploaded as part of the GL Account Balances file</w:t>
            </w:r>
            <w:r w:rsidRPr="00C42B44">
              <w:t>. This will provide evidence over the completeness and accuracy of the data imported into KPMG Clara</w:t>
            </w:r>
            <w:r>
              <w:t xml:space="preserve"> </w:t>
            </w:r>
            <w:r w:rsidRPr="00C42B44">
              <w:t>(pending the engagement team’s investigation and resolution of identified variances, if any).</w:t>
            </w:r>
          </w:p>
          <w:p w:rsidR="002606B1" w:rsidRPr="00C42B44" w:rsidRDefault="002606B1" w:rsidP="00931423">
            <w:pPr>
              <w:pStyle w:val="QRCbodytext"/>
            </w:pPr>
            <w:r w:rsidRPr="00C42B44">
              <w:t xml:space="preserve">Using the created </w:t>
            </w:r>
            <w:r>
              <w:t>Trial Balance Report</w:t>
            </w:r>
            <w:r w:rsidRPr="00C42B44">
              <w:t xml:space="preserve"> perform the following procedure:</w:t>
            </w:r>
          </w:p>
          <w:p w:rsidR="002606B1" w:rsidRPr="00C42B44" w:rsidRDefault="002606B1" w:rsidP="002606B1">
            <w:pPr>
              <w:pStyle w:val="QRCBullet1"/>
              <w:widowControl/>
              <w:tabs>
                <w:tab w:val="clear" w:pos="360"/>
              </w:tabs>
              <w:spacing w:before="60" w:after="60"/>
              <w:ind w:left="697" w:hanging="360"/>
            </w:pPr>
            <w:r w:rsidRPr="00C42B44">
              <w:t>Agree the opening account balances and prior period account balances to the prior period audited balances</w:t>
            </w:r>
          </w:p>
          <w:p w:rsidR="002606B1" w:rsidRPr="00C42B44" w:rsidRDefault="002606B1" w:rsidP="002606B1">
            <w:pPr>
              <w:pStyle w:val="QRCbodytext"/>
              <w:numPr>
                <w:ilvl w:val="0"/>
                <w:numId w:val="4"/>
              </w:numPr>
              <w:ind w:left="337"/>
            </w:pPr>
            <w:r w:rsidRPr="00C42B44">
              <w:t>KPMG Clara</w:t>
            </w:r>
            <w:r w:rsidRPr="00C42B44" w:rsidDel="00FF0BC5">
              <w:t xml:space="preserve"> </w:t>
            </w:r>
            <w:r w:rsidRPr="00C42B44">
              <w:t>will alert users if there are out-of-balance journal entries in the JE Transactions file. The engagement team can proceed in processing with out-of-balance journal entries. Out-of-balance journal entries will be displayed in t</w:t>
            </w:r>
            <w:r>
              <w:t>he journal entry analysis, Pre-S</w:t>
            </w:r>
            <w:r w:rsidRPr="00C42B44">
              <w:t>creening Statistics.</w:t>
            </w:r>
          </w:p>
        </w:tc>
      </w:tr>
    </w:tbl>
    <w:p w:rsidR="00A42A09" w:rsidRDefault="00A42A09"/>
    <w:sectPr w:rsidR="00A42A09" w:rsidSect="00C914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6B1" w:rsidRDefault="002606B1" w:rsidP="002606B1">
      <w:pPr>
        <w:spacing w:before="0" w:after="0"/>
      </w:pPr>
      <w:r>
        <w:separator/>
      </w:r>
    </w:p>
  </w:endnote>
  <w:endnote w:type="continuationSeparator" w:id="0">
    <w:p w:rsidR="002606B1" w:rsidRDefault="002606B1" w:rsidP="002606B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Univers for KPMG">
    <w:panose1 w:val="020B0603020202020204"/>
    <w:charset w:val="00"/>
    <w:family w:val="swiss"/>
    <w:pitch w:val="variable"/>
    <w:sig w:usb0="800002AF" w:usb1="5000204A"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6B1" w:rsidRDefault="002606B1" w:rsidP="002606B1">
      <w:pPr>
        <w:spacing w:before="0" w:after="0"/>
      </w:pPr>
      <w:r>
        <w:separator/>
      </w:r>
    </w:p>
  </w:footnote>
  <w:footnote w:type="continuationSeparator" w:id="0">
    <w:p w:rsidR="002606B1" w:rsidRDefault="002606B1" w:rsidP="002606B1">
      <w:pPr>
        <w:spacing w:before="0" w:after="0"/>
      </w:pPr>
      <w:r>
        <w:continuationSeparator/>
      </w:r>
    </w:p>
  </w:footnote>
  <w:footnote w:id="1">
    <w:p w:rsidR="002606B1" w:rsidRDefault="002606B1" w:rsidP="002606B1">
      <w:pPr>
        <w:pStyle w:val="FootnoteText"/>
      </w:pPr>
      <w:r>
        <w:rPr>
          <w:rStyle w:val="FootnoteReference"/>
        </w:rPr>
        <w:footnoteRef/>
      </w:r>
      <w:r>
        <w:t xml:space="preserve"> This document </w:t>
      </w:r>
      <w:r w:rsidRPr="00383B8E">
        <w:t>assumes</w:t>
      </w:r>
      <w:r>
        <w:t xml:space="preserve"> the GLAB file contains the following balances: PY closing, CY opening and CY closing. If the engagement team imports a GLAB file with additional data elements, this document should be modified appropriately.</w:t>
      </w:r>
    </w:p>
  </w:footnote>
  <w:footnote w:id="2">
    <w:p w:rsidR="002606B1" w:rsidRDefault="002606B1" w:rsidP="002606B1">
      <w:pPr>
        <w:pStyle w:val="FootnoteText"/>
      </w:pPr>
      <w:r>
        <w:rPr>
          <w:rStyle w:val="FootnoteReference"/>
        </w:rPr>
        <w:footnoteRef/>
      </w:r>
      <w:r>
        <w:t xml:space="preserve"> </w:t>
      </w:r>
      <w:r w:rsidRPr="006C2870">
        <w:t>The procedures included in the table are provided to aid in reconciling the data file imported to the entity’s source data when using KPMG Clara. The procedures included in the table do not address checking the appropriateness of the parameters used or checking the logic of the equation and/or programming of an extraction routine. If these types of procedures are also applicable in the engagement circumstances, additional procedures should be added as necessary.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11761"/>
    <w:multiLevelType w:val="hybridMultilevel"/>
    <w:tmpl w:val="23A2510E"/>
    <w:lvl w:ilvl="0" w:tplc="B10CBB0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9909AB"/>
    <w:multiLevelType w:val="hybridMultilevel"/>
    <w:tmpl w:val="520635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2F4EF5"/>
    <w:multiLevelType w:val="hybridMultilevel"/>
    <w:tmpl w:val="0518BF0E"/>
    <w:lvl w:ilvl="0" w:tplc="50F434B8">
      <w:start w:val="1"/>
      <w:numFmt w:val="bullet"/>
      <w:pStyle w:val="QRCBullet1"/>
      <w:lvlText w:val="­"/>
      <w:lvlJc w:val="left"/>
      <w:pPr>
        <w:ind w:left="36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F7576BD"/>
    <w:multiLevelType w:val="hybridMultilevel"/>
    <w:tmpl w:val="6238650A"/>
    <w:lvl w:ilvl="0" w:tplc="F21CA8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B1"/>
    <w:rsid w:val="002606B1"/>
    <w:rsid w:val="00484536"/>
    <w:rsid w:val="00A42A09"/>
    <w:rsid w:val="00C914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7683D-1E50-4C74-97FE-7AB71A7E7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06B1"/>
    <w:pPr>
      <w:spacing w:before="120" w:after="120" w:line="240" w:lineRule="auto"/>
    </w:pPr>
    <w:rPr>
      <w:rFonts w:ascii="Arial" w:hAnsi="Arial"/>
      <w:sz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B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RCbodytext">
    <w:name w:val="QRC body text"/>
    <w:basedOn w:val="Normal"/>
    <w:link w:val="QRCbodytextChar"/>
    <w:qFormat/>
    <w:rsid w:val="002606B1"/>
    <w:rPr>
      <w:rFonts w:eastAsiaTheme="minorEastAsia" w:cs="Arial"/>
      <w:color w:val="000000"/>
      <w:szCs w:val="19"/>
    </w:rPr>
  </w:style>
  <w:style w:type="paragraph" w:customStyle="1" w:styleId="QRCBullet1">
    <w:name w:val="QRC Bullet 1"/>
    <w:basedOn w:val="QRCbodytext"/>
    <w:qFormat/>
    <w:rsid w:val="002606B1"/>
    <w:pPr>
      <w:widowControl w:val="0"/>
      <w:numPr>
        <w:numId w:val="1"/>
      </w:numPr>
      <w:tabs>
        <w:tab w:val="num" w:pos="360"/>
      </w:tabs>
      <w:ind w:left="0" w:firstLine="0"/>
    </w:pPr>
  </w:style>
  <w:style w:type="paragraph" w:customStyle="1" w:styleId="QRCboldsub-title">
    <w:name w:val="QRC bold sub-title"/>
    <w:basedOn w:val="Normal"/>
    <w:qFormat/>
    <w:rsid w:val="002606B1"/>
    <w:pPr>
      <w:widowControl w:val="0"/>
      <w:spacing w:before="240"/>
    </w:pPr>
    <w:rPr>
      <w:rFonts w:eastAsia="Times New Roman" w:cs="Arial"/>
      <w:b/>
      <w:sz w:val="22"/>
      <w:szCs w:val="21"/>
      <w:lang w:val="en-AU" w:eastAsia="zh-CN"/>
    </w:rPr>
  </w:style>
  <w:style w:type="paragraph" w:styleId="FootnoteText">
    <w:name w:val="footnote text"/>
    <w:basedOn w:val="Normal"/>
    <w:link w:val="FootnoteTextChar"/>
    <w:uiPriority w:val="99"/>
    <w:unhideWhenUsed/>
    <w:rsid w:val="002606B1"/>
    <w:pPr>
      <w:spacing w:before="0" w:after="0"/>
    </w:pPr>
    <w:rPr>
      <w:sz w:val="16"/>
      <w:szCs w:val="20"/>
    </w:rPr>
  </w:style>
  <w:style w:type="character" w:customStyle="1" w:styleId="FootnoteTextChar">
    <w:name w:val="Footnote Text Char"/>
    <w:basedOn w:val="DefaultParagraphFont"/>
    <w:link w:val="FootnoteText"/>
    <w:uiPriority w:val="99"/>
    <w:rsid w:val="002606B1"/>
    <w:rPr>
      <w:rFonts w:ascii="Arial" w:hAnsi="Arial"/>
      <w:sz w:val="16"/>
      <w:szCs w:val="20"/>
      <w:lang w:val="en-US"/>
    </w:rPr>
  </w:style>
  <w:style w:type="character" w:styleId="FootnoteReference">
    <w:name w:val="footnote reference"/>
    <w:basedOn w:val="DefaultParagraphFont"/>
    <w:uiPriority w:val="99"/>
    <w:unhideWhenUsed/>
    <w:rsid w:val="002606B1"/>
    <w:rPr>
      <w:rFonts w:ascii="Univers for KPMG" w:hAnsi="Univers for KPMG"/>
      <w:sz w:val="16"/>
      <w:vertAlign w:val="superscript"/>
    </w:rPr>
  </w:style>
  <w:style w:type="character" w:customStyle="1" w:styleId="QRCbodytextChar">
    <w:name w:val="QRC body text Char"/>
    <w:basedOn w:val="DefaultParagraphFont"/>
    <w:link w:val="QRCbodytext"/>
    <w:rsid w:val="002606B1"/>
    <w:rPr>
      <w:rFonts w:ascii="Arial" w:eastAsiaTheme="minorEastAsia" w:hAnsi="Arial" w:cs="Arial"/>
      <w:color w:val="000000"/>
      <w:sz w:val="19"/>
      <w:szCs w:val="1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1410</Words>
  <Characters>8038</Characters>
  <Application>Microsoft Office Word</Application>
  <DocSecurity>0</DocSecurity>
  <Lines>66</Lines>
  <Paragraphs>18</Paragraphs>
  <ScaleCrop>false</ScaleCrop>
  <Company>KPMG</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Yi Peng</dc:creator>
  <cp:keywords/>
  <dc:description/>
  <cp:lastModifiedBy>Loh, Yi Peng</cp:lastModifiedBy>
  <cp:revision>1</cp:revision>
  <dcterms:created xsi:type="dcterms:W3CDTF">2019-05-17T00:03:00Z</dcterms:created>
  <dcterms:modified xsi:type="dcterms:W3CDTF">2019-05-17T00:04:00Z</dcterms:modified>
</cp:coreProperties>
</file>