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</w:pPr>
      <w:r>
        <w:rPr>
          <w:rFonts w:ascii="Calibri" w:hAnsi="Calibri" w:eastAsia="SimSun"/>
          <w:sz w:val="40"/>
          <w:szCs w:val="40"/>
          <w:b/>
          <w:bCs/>
          <w:color w:val="0B2545"/>
        </w:rPr>
        <w:t xml:space="preserve">旧系统产品经理访谈问卷</w:t>
      </w:r>
    </w:p>
    <w:p>
      <w:pPr>
        <w:spacing w:after="240" w:line="276" w:lineRule="auto"/>
      </w:pPr>
      <w:r>
        <w:rPr>
          <w:rFonts w:ascii="Calibri" w:hAnsi="Calibri" w:eastAsia="SimSun"/>
          <w:sz w:val="20"/>
          <w:szCs w:val="20"/>
          <w:color w:val="555555"/>
        </w:rPr>
        <w:t xml:space="preserve">由 legacy 代码、DDL、已恢复页面与当前逆向需求整理生成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1. 访谈记录信息</w:t>
      </w:r>
    </w:p>
    <w:tbl>
      <w:tblPr>
        <w:tblW w:w="9360" w:type="dxa"/>
        <w:tblInd w:w="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2100"/>
        <w:gridCol w:w="7260"/>
      </w:tblGrid>
      <w:t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9"/>
                <w:szCs w:val="19"/>
                <w:b/>
                <w:bCs/>
                <w:color w:val="1F4D78"/>
              </w:rPr>
              <w:t xml:space="preserve">项目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9"/>
                <w:szCs w:val="19"/>
                <w:b/>
                <w:bCs/>
                <w:color w:val="1F4D78"/>
              </w:rPr>
              <w:t xml:space="preserve">内容</w:t>
            </w:r>
          </w:p>
        </w:tc>
      </w:tr>
      <w:t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访谈日期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访谈对象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访谈对象角色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记录人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/>
            </w:r>
          </w:p>
        </w:tc>
      </w:tr>
      <w:t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是否了解原生产运行方式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 / 否</w:t>
            </w:r>
          </w:p>
        </w:tc>
      </w:tr>
      <w:t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是否了解原始需求背景</w:t>
            </w:r>
          </w:p>
        </w:tc>
        <w:tc>
          <w:tcPr>
            <w:tcW w:w="72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 / 否</w:t>
            </w:r>
          </w:p>
        </w:tc>
      </w:tr>
    </w:tbl>
    <w:p>
      <w:pPr>
        <w:spacing w:after="120" w:line="276" w:lineRule="auto"/>
      </w:pPr>
      <w:r>
        <w:rPr>
          <w:rFonts w:ascii="Calibri" w:hAnsi="Calibri" w:eastAsia="SimSun"/>
          <w:sz w:val="22"/>
          <w:szCs w:val="22"/>
        </w:rPr>
        <w:t xml:space="preserve"/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2. 关键数据上下文速查</w:t>
      </w:r>
    </w:p>
    <w:p>
      <w:pPr>
        <w:spacing w:after="100" w:line="276" w:lineRule="auto"/>
      </w:pPr>
      <w:r>
        <w:rPr>
          <w:rFonts w:ascii="Calibri" w:hAnsi="Calibri" w:eastAsia="SimSun"/>
          <w:sz w:val="22"/>
          <w:szCs w:val="22"/>
        </w:rPr>
        <w:t xml:space="preserve">本节用于给访谈对象提供“问题对应到旧系统哪里”的线索。</w:t>
      </w:r>
    </w:p>
    <w:p>
      <w:pPr>
        <w:spacing w:after="100" w:line="276" w:lineRule="auto"/>
      </w:pPr>
      <w:r>
        <w:rPr>
          <w:rFonts w:ascii="Calibri" w:hAnsi="Calibri" w:eastAsia="SimSun"/>
          <w:sz w:val="22"/>
          <w:szCs w:val="22"/>
        </w:rPr>
        <w:t xml:space="preserve">访谈时可以只挑相关行给产品经理参考，不需要逐项讲解数据库结构。</w:t>
      </w:r>
    </w:p>
    <w:tbl>
      <w:tblPr>
        <w:tblW w:w="9360" w:type="dxa"/>
        <w:tblInd w:w="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Layout w:type="fixed"/>
      </w:tblPr>
      <w:tblGrid>
        <w:gridCol w:w="1650"/>
        <w:gridCol w:w="3150"/>
        <w:gridCol w:w="2500"/>
        <w:gridCol w:w="2060"/>
      </w:tblGrid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9"/>
                <w:szCs w:val="19"/>
                <w:b/>
                <w:bCs/>
                <w:color w:val="1F4D78"/>
              </w:rPr>
              <w:t xml:space="preserve">业务概念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9"/>
                <w:szCs w:val="19"/>
                <w:b/>
                <w:bCs/>
                <w:color w:val="1F4D78"/>
              </w:rPr>
              <w:t xml:space="preserve">代码/数据线索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9"/>
                <w:szCs w:val="19"/>
                <w:b/>
                <w:bCs/>
                <w:color w:val="1F4D78"/>
              </w:rPr>
              <w:t xml:space="preserve">当前逆向理解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9"/>
                <w:szCs w:val="19"/>
                <w:b/>
                <w:bCs/>
                <w:color w:val="1F4D78"/>
              </w:rPr>
              <w:t xml:space="preserve">需要访谈确认点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通用认领状态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IBS.T1_VUCH_EMP_RELA.CLAIM_STATUS_ID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存款、贷款等凭证类认领主表中的认领状态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各状态码是否全局统一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贵金属认领状态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IBS.GOLD_EMP_RELA.CLAIM_STATUS_ID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贵金属认领链路中的认领状态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是否沿用通用状态码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基金认领状态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IBS.T1_FUND_TXN_EMP_RELA.CLAIM_STATUS_ID、IBS.T1_FUND_CST_EMP_RELA.CLAIM_STATUS_ID、IBS.T1_FUND_DT_EMP_RELA.CLAIM_STATUS_ID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基金交易、基金客户、基金定投三类认领状态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三类基金状态是否同口径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代发工资认领状态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IBS.T1_DF_SLRY_EMP_RELA.CLAIM_STATUS_ID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代发工资认领状态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是否与通用认领一致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第三方存管认领状态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IBS.T1_THD_EMP_RELA.CLAIM_STATUS_ID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第三方存管认领状态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是否与通用认领一致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保险认领状态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IBS.T1_YBDB_EMP_RELA.CLAIM_STATUS_ID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保险/银保类认领状态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是否与通用认领一致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调整状态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IBS.T1_VUCH_EMP_RELA.RVS_STATUS_ID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已认领记录后续调整状态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调整状态是否与认领状态复用口径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调整日志状态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IBS.T6_VUCH_EMP_RELA_CHANGE_LOG.NEW_CLAIM_STATUS_ID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调整日志里的新认领状态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是否代表调整审批链路状态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认领状态字典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IBS.T9_CLAIM_STATUS_TYPE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页面常用的认领状态字典表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是否为原生产标准字典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调整状态字典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IBS.T9_RVS_STATUS_TYPE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页面常用的调整状态字典表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是否为原生产标准字典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营销活动编号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MARKETING_NO，常见特殊值 2016qq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某些认领/查询中会排除或特殊处理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是否为真实业务活动口径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虚拟/机构归属对象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EMP_ID='000000'，或 EMP_ID 存机构号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可能代表未认领占位、公共池或机构归属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真实业务含义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自动审批标识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VERIFY_EMP_ID='无需审批'、ADMIN_HK、ADMIN_SZ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可能代表无需人工审批、换卡自动审批、事中自动审批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是否为正式业务规则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考核期字段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EXAM_YEAR、EXAM_Q、STUS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考核、评分、奖金等模块使用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考核期控制范围</w:t>
            </w:r>
          </w:p>
        </w:tc>
      </w:tr>
      <w:tr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审计备注</w:t>
            </w:r>
          </w:p>
        </w:tc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REMARK、REMARK1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拼接认领时间、认领工号、审批时间、审批理由等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SimSun"/>
                <w:sz w:val="18"/>
                <w:szCs w:val="18"/>
              </w:rPr>
              <w:t xml:space="preserve">迁移时是否结构化保留</w:t>
            </w:r>
          </w:p>
        </w:tc>
      </w:tr>
    </w:tbl>
    <w:p>
      <w:pPr>
        <w:spacing w:after="120" w:line="276" w:lineRule="auto"/>
      </w:pPr>
      <w:r>
        <w:rPr>
          <w:rFonts w:ascii="Calibri" w:hAnsi="Calibri" w:eastAsia="SimSun"/>
          <w:sz w:val="22"/>
          <w:szCs w:val="22"/>
        </w:rPr>
        <w:t xml:space="preserve"/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3. 系统定位与业务目标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3.1 这套系统最核心的业务目标是什么？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对各类业务业绩进行“人员归属”认定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对各类业务业绩进行“机构归属”认定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同时支持人员归属和机构归属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主要是审批台账，归属只是其中一部分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3.2 “这笔业务业绩应该算到谁头上”是否就是系统的核心问题？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是，且这是绝对主线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是，但还包含更重要的考核/统计目标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只是其中一个功能，系统主线另有重点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3.3 这套系统主要服务于哪个业务场景？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日常业务业绩认领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月度/季度考核归属处理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特定营销活动或专项统计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既服务日常，也服务周期性考核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3.4 系统是否只负责“认领与审批”，不负责最终考核计算？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是，考核在别的系统或后续流程中完成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否，系统内部也承担部分考核计算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只承担部分考核准备工作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4. 业务范围与业务条线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4.1 下列业务条线中，哪些在原生产中真实使用过？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100" w:line="276" w:lineRule="auto"/>
      </w:pPr>
      <w:r>
        <w:rPr>
          <w:rFonts w:ascii="Calibri" w:hAnsi="Calibri" w:eastAsia="SimSun"/>
          <w:sz w:val="22"/>
          <w:szCs w:val="22"/>
        </w:rPr>
        <w:t xml:space="preserve">请分别标注“长期使用 / 曾经使用 / 代码预留但未上线 / 不清楚”：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存款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贵金属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基金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理财/金融交易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第三方存管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代发工资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保险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贷款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公积金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其他，请补充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4.2 各业务条线之间的差异主要体现在哪些方面？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来源数据表不同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字段不同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认领规则不同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审批层级不同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数据可见范围不同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F. 只是页面不同，规则基本一致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G.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4.3 是否存在“代码里有模块，但原生产并未真正启用”的情况？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有，而且不少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有，但较少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基本没有，代码里的模块大多都启用过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4.4 当前代码中存在较多考核、奖金、价格、汇总报表类页面，这些是否属于本次新系统迁移范围？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都属于核心范围，必须迁移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只迁移与认领结果直接相关的报表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只迁移查询展示，不迁移奖金/价格计算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暂不纳入第一期迁移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4.5 代码中出现 2016qq 等营销活动编号过滤，这类特殊活动在业务上是什么性质？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字段：MARKETING_NO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表/页面线索：IBS.T1_VUCH_DETAIL.MARKETING_NO、IBS.T1_VUCH_EMP_RELA.MARKETING_NO、claim_dep.xml、claim_info.xml、claimed_change.xml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当前观察：多个存贷款认领、查询、调整页面中存在 COALESCE(MARKETING_NO,'') not in ('2016qq') 或对 2016qq 单独分支处理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真实存在的专项活动，需要保留特殊处理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历史一次性活动，新系统不需要保留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代表一类营销活动规则，新系统应抽象支持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只是临时代码或数据修正口径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5. 角色、组织与权限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5.1 原系统中最主要的业务角色有哪些？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认领人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初审人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终审人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调整发起人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调整审批人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F. 系统管理员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G. 业务管理员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H.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5.2 原系统的审批角色划分主要依据是什么？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按组织层级划分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按业务条线划分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按岗位/职责划分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按用户组配置，比较灵活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多种因素共同决定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F.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5.3 数据可见范围主要按什么控制？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本人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本网点/本机构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所属支行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上级分行/总行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同时受组织层级和菜单权限控制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F.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5.4 菜单权限和数据权限在原系统里是否是两套逻辑？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是，菜单能看到不代表数据可见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基本是一套，菜单和数据权限绑定较紧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看模块而定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5.5 原生产中是否存在一人多角色、多审批身份并存的情况？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经常存在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偶尔存在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基本不存在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5.6 原系统是否支持“机构级归属”或“虚拟归属对象”？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字段：各认领表中的 EMP_ID、EMP_NM、EMP_ORG_ID、VERIFY_EMP_ID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表/代码线索：IBS.T1_VUCH_EMP_RELA、IBS.GOLD_EMP_RELA、IBS.T1_FNC_TXN_EMP_RELA、SubmitClaimGold.java、SubmitClaimFncTxn.java、SubmitClaimLn.java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当前观察：代码会插入 EMP_ID='000000' 的行；贷款提交中可出现 VERIFY_EMP_ID='无需审批'；部分逻辑把 EMP_ID 与机构表关联判断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支持机构级归属，这是核心能力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支持虚拟归属对象，但只用于少数场景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这些只是技术占位，不代表业务对象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按业务条线不同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6. 菜单结构与模块分组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6.1 原生产系统的顶层菜单大致是怎样的？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只有“首页 + 系统管理”两大类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首页下再挂所有业务模块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按业务域分多个一级菜单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按“认领 / 审批 / 查询 / 管理”分组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6.2 业务模块更接近以下哪种组织方式？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每个业务条线各自有认领、审批、查询页面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认领页面按条线分，审批页面部分合并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查询页面统一，认领审批分散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以组织角色为中心组织菜单，而不是按业务条线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6.3 “我的认领”这类页面在原系统中是什么定位？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个人工作台/个人台账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只是一个辅助查询页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用户最常用的主入口之一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后期加的补充功能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7. 认领流程确认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7.1 认领流程的标准主线是否如下？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待认领 -&gt; 暂存 -&gt; 提交 -&gt; 审批通过/驳回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待认领 -&gt; 直接提交 -&gt; 审批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待认领 -&gt; 暂存 -&gt; 提交 -&gt; 初审 -&gt; 终审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各业务条线差异较大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7.2 “暂存”在业务上的作用是什么？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允许录入未完成时先保存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允许多人分步补充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只是技术上的中间状态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某些条线必须暂存，某些不需要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7.3 一笔业务记录是否允许拆分给多人按比例认领？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允许，且是核心业务能力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允许，但只在少数条线使用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原则上不允许，一般只认给一个人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视业务类型而定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7.4 认领比例的总和规则是什么？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字段：各认领表中的 RATIO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相关状态字段：CLAIM_STATUS_ID、RVS_STATUS_ID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代码线索：Servervalidate_ClaimGold.java、Servervalidate_ClaimDep.java、Servervalidate_ClaimLn.java、Servervalidate_Fund.java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当前观察：代码经常用 100 - sum(ratio) 计算剩余可认领比例；部分模块会把 CLAIM_STATUS_ID in ('1','2','5','6','21') 或调整状态下的 RVS_RATIO 纳入计算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必须正好等于 100%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不能超过 100%，可以小于 100%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部分业务必须等于 100%，部分可以小于 100%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由审批时人工把关，不是硬校验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7.5 如果一笔业务已有部分比例被认领，后续认领是否允许继续占用剩余比例？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允许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不允许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仅特定业务条线允许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7.6 被驳回的认领记录后续通常如何处理？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原认领人可修改后重新提交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驳回即终止，需要重新发起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看模块而定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7.7 是否存在无需人工审批、提交后直接通过的认领场景？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字段：CLAIM_STATUS_ID、VERIFY_EMP_ID、VERIFY_DT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表/代码线索：IBS.T1_VUCH_EMP_RELA、SubmitClaimLn.java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当前观察：贷款提交代码中存在直接设置 CLAIM_STATUS_ID='2'、VERIFY_EMP_ID='无需审批' 的路径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存在，且是正式业务规则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存在，但只限少数业务条线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原系统曾经支持，但生产基本不用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不存在，应全部人工审批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7.8 当认领对象是机构、团队或公共池时，比例规则是否与个人认领一致？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完全一致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不一致，机构/公共池有单独规则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只在贷款等特定业务中不一致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8. 审批流程与状态码确认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8.1 原系统审批模型更接近哪一种？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大多数模块单级审批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大多数模块两级审批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不同业务条线差异明显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还有三级及以上审批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8.2 CLAIM_STATUS_ID='21' 在业务上的标准含义更接近哪种？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字段：CLAIM_STATUS_ID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主要表：IBS.T1_VUCH_EMP_RELA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相关页面：claim_verify_acc、claim_verify_accfs、claim_dep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代码/配置线索：ClaimVerifyAccServerCallBack.java 将 IBS.T1_VUCH_EMP_RELA.CLAIM_STATUS_ID 从 1 更新为 21；ClaimVerifyAccFsServerCallBack.java 再将 21 更新为 2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当前页面文本线索：claim_dep.xml 中既出现过 21-初审，也出现过 21-支行已审核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初审通过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支行审批通过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中间审批通过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特定条线的已通过，不一定代表统一含义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8.3 CLAIM_STATUS_ID='31' 在业务上的标准含义更接近哪种？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字段：CLAIM_STATUS_ID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主要表：IBS.T1_VUCH_EMP_RELA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相关页面：claim_dep、claim_fund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当前页面文本线索：claim_dep.xml 中出现 31-初审未通过 和 31-支行未通过；claim_fund.xml 中存在查询 CLAIM_STATUS_ID in ('0','7','3','31')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初审驳回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中间审批驳回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特定条线自定义状态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8.4 CLAIM_STATUS_ID='5' 和 CLAIM_STATUS_ID='6' 是否在生产中真实使用？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字段：CLAIM_STATUS_ID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常见表：IBS.T1_VUCH_EMP_RELA、IBS.GOLD_EMP_RELA、IBS.T1_FUND_*_EMP_RELA、IBS.T1_DF_SLRY_EMP_RELA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当前页面文本线索：多个页面将 5 显示为 超时自动审批，将 6 显示为 事中认领自动审核通过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当前规则线索：比例校验经常把 5、6 作为已占用比例的有效状态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两者都真实使用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只 5 用过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 6 用过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基本只是代码预留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8.5 CLAIM_STATUS_ID='5' 和 CLAIM_STATUS_ID='6' 分别代表什么业务含义？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自动审批通过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超时自动通过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事中认领自动通过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按条线含义不同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8.6 驳回时填写“驳回原因”在原业务上是否是必填？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字段：REMARK1 常作为页面输入原因，REMARK 常拼接审批轨迹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相关页面：claim_gold_vfy_no、verify_no_form、claimedRvs_no_formfs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当前观察：多个“不通过”弹窗会要求输入原因并写回备注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是，必须填写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否，可选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部分模块必填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8.7 CLAIM_STATUS_ID='4' 在业务上的含义是什么？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字段：CLAIM_STATUS_ID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主要表：IBS.T1_VUCH_EMP_RELA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相关页面：claim_dep、claim_info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当前页面文本线索：claim_dep.xml 中将 4 显示为 4-撤销；当前恢复链路尚未完整验证该状态如何产生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认领人主动撤销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审批人或管理员撤销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系统自动撤销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历史预留状态，生产未使用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8.8 自动审批相关账号或标识的业务含义是什么？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字段：VERIFY_EMP_ID、VERIFY_EMP_NM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相关页面/代码：claim_info.xml、SubmitClaimLn.java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当前页面文本线索：claim_info.xml 中将 ADMIN_HK 显示为 换卡自动审批，将 ADMIN_SZ 显示为 事中自动审批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当前代码线索：SubmitClaimLn.java 中存在 VERIFY_EMP_ID='无需审批'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正式代表自动审批结果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代表特定批处理任务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代表人工导入或历史修正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只是临时数据，不应迁移为业务规则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8.9 原系统是否支持批量审批？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相关页面：claim_verify_acc、claim_verify_accfs、claim_verify_exs、emp_dx_fh_ver 等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代码/页面线索：多个页面按钮或回调中出现 批量通过、SELECTEDROW、选中数据批量通过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支持，且生产高频使用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支持，但只在少数模块使用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页面上有能力，但生产不常用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不支持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9. 调整流程确认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9.1 调整流程的业务前提是什么？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主表字段：IBS.T1_VUCH_EMP_RELA.CLAIM_STATUS_ID、IBS.T1_VUCH_EMP_RELA.RVS_STATUS_ID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调整日志字段：IBS.T6_VUCH_EMP_RELA_CHANGE_LOG.NEW_CLAIM_STATUS_ID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相关页面：claimed_change、claimed_change_fs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当前观察：claimed_change 主要对已有认领记录发起调整，保存写 RVS_RATIO，提交推进 RVS_STATUS_ID 和 NEW_CLAIM_STATUS_ID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只有已审批通过的认领才能调整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已提交待审批的也能调整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认领后的任意状态都可调整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按条线不同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9.2 调整流程是否独立于初始认领流程？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是，属于一条独立的后置流程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否，本质上还是原认领流程的一部分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部分独立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9.3 调整审批通过后，原记录如何处理？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主表字段：IBS.T1_VUCH_EMP_RELA.RATIO、IBS.T1_VUCH_EMP_RELA.RVS_RATIO、IBS.T1_VUCH_EMP_RELA.RVS_STATUS_ID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日志表字段：IBS.T6_VUCH_EMP_RELA_CHANGE_LOG.NEW_RATIO、NEW_CLAIM_STATUS_ID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代码线索：ClaimedRvsFsServerCallBack.java 和 claimed_change_fs.xml 中审批通过会设置 RVS_STATUS_ID='2'，并将 RATIO = RVS_RATIO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直接覆盖原归属比例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保留原记录，同时生成新生效版本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同时保留主记录和调整日志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9.4 调整是否也存在多级审批？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字段：RVS_STATUS_ID、NEW_CLAIM_STATUS_ID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当前观察：部分审批代码会把调整状态推进到 21，再由后续审批推进到 2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否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只有部分模块有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9.5 调整流程中是否允许“撤销认领”或将比例调整为 0？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字段：RATIO、RVS_RATIO、RVS_STATUS_ID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相关页面：claimed_change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当前页面文本线索：claimed_change.xml 中出现“认领撤销”相关备注拼接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允许，且属于正式调整能力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允许，但需要特殊审批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不允许，只能改比例不能撤销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按业务条线不同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9.6 调整通过后，历史版本应如何被查询？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主表：IBS.T1_VUCH_EMP_RELA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日志表：IBS.T6_VUCH_EMP_RELA_CHANGE_LOG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查询页面：my_claimed 的“我的调整”页签、claimed_change 的认领信息区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只展示最新生效结果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展示最新结果，同时可查历史调整日志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每次调整生成独立版本，历史版本同等重要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10. 个人查询与工作台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10.1 “我的认领”类页面的核心价值是什么？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页面：my_claimed、my_claim_info、remark_info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主查询表：IBS.T1_VUCH_EMP_RELA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调整查询表：IBS.T6_VUCH_EMP_RELA_CHANGE_LOG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当前观察：my_claimed 包含“我的存贷款认领”“我的调整”“我的贵金属认领”“我的第三方存管认领”“我的基金认领”等页签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查询本人认领历史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跟踪审批进度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查询本人调整历史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统一查看多条线归属结果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以上都有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10.2 原系统是否要求个人查询页按业务条线分栏/分页展示？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是，分条线展示是必须保留的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不必须，统一列表也可以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只要能筛选业务条线即可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10.3 个人查询页是否只展示最终通过的数据？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字段：CLAIM_STATUS_ID、RVS_STATUS_ID、NEW_CLAIM_STATUS_ID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页面：my_claimed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当前观察：个人查询页会展示状态名称和审批/调整日期，不只是最终结果字段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否，也展示待审批和驳回状态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看不同页签而定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11. 考核、奖金、报表与价格类模块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11.1 原系统中的考核期控制是否是核心业务规则？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字段：EXAM_YEAR、EXAM_Q、STUS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页面/代码线索：emp_dx.xml、emp_dx_fh_ver.xml、emp_exs_xz.xml、branch_dx.xml、InterceptorEmpGdqMod.java、InterceptorOtherChgMod.java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当前观察：代码中多处出现“不是考核期不能修改”“请在考核期内对考核期数据进行维护，过期数据不能补录”等提示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是，所有认领/调整/评分都必须受考核期控制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是，但只影响考核评分、奖金、价格类模块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只影响少数维护页面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不是核心规则，可在新系统中弱化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11.2 奖金、考核系数、价格类模块与认领结果是什么关系？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页面线索：bonus_sum*.xml、BanusShareRatio*.xml、branch_ratio.xml、commission_ratio.xml、price*.xml、credit_card_price.xml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字段线索：BONUS_TYPE_ID、PSTN_TYPE、SUB_PSTN_TYPE、RATION、EXAM_YEAR、EXAM_Q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直接使用认领结果计算奖金或绩效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只是展示或查询，不负责计算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部分计算在本系统，部分在下游系统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历史功能，当前业务不再使用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11.3 报表导出是否是迁移时必须保留的能力？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页面配置线索：多个报表 XML 中存在 dataexport="richexcel" 或类似导出能力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相关页面类型：业绩汇总、奖金汇总、客户活动明细、认领查询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必须保留，且格式要尽量一致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必须保留，但格式可以重做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只保留核心报表导出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第一期可以不保留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11.4 定性考核评分、分行审核、员工/机构汇总类页面是否属于本系统主业务域？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页面线索：emp_dx.xml、emp_dx_fh.xml、emp_dx_fh_ver.xml、branch_dx.xml、emp_gdq.xml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当前观察：这些页面存在评分、提交、分行审核、批量通过等动作，与纯查询报表不同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属于，与认领结果共同组成完整绩效流程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属于独立考核子系统，但与认领数据有关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只是报表/辅助功能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历史遗留，新系统可不迁移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12. 模块边界与产品结构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12.1 新系统迁移时，以下哪种模块边界最需要保留？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按业务条线保留认领模块边界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按审批层级保留审批模块边界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保留独立的调整模块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保留独立的个人查询模块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上述都需要保留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12.2 哪些模块虽然代码不同，但在业务上可以视为同一类能力？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所有认领模块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所有审批模块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所有调整模块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所有个人查询模块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仍需按条线分别看待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F.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12.3 对原页面名称、菜单名称、业务术语，迁移时应保持到什么程度？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名称和术语必须尽量完全一致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核心业务术语一致即可，菜单可重组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只要业务含义一致，名称可以产品化重命名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按模块决定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13. 上下游系统与外部集成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13.1 上游业务数据主要来自哪里？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柜面/核心业务系统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CRM/营销系统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批量导入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多个系统汇聚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13.2 上游数据进入本系统的主要方式是什么？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定时批量导入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实时接口同步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人工导入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多种方式并存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13.3 本系统的结果主要被谁消费？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后续考核系统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报表/统计系统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人工导出使用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本系统内部查询即可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多方消费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F.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13.4 本系统是否真实接入过外部单点登录？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代码线索：com.customer.security.WSLogin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接口线索：interfaceservice.InterfaceServiceServiceStub.ssoTicketValidate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当前观察：代码会将 token 组装为 XML，调用 ssoTicketValidate，验证成功后写入 user_id、org_id、org_lvl 等 session 信息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是，生产中真实用过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有接入代码，但未正式启用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从未接入过，只是预留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13.5 审批流程是否依赖外部 BPM/流程平台？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不依赖，完全系统内实现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依赖外部 BPM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部分模块依赖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13.6 旧系统是否存在定时任务、批处理或日终/月末处理？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代码/页面线索：当前源码中审批状态多由页面按钮和 Java 回调直接更新，但提示文案中多次出现“批量原因”“新开户的凭证号，请明日再试”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需要确认：这些“批量”是上游入库批处理、自动审批批处理、还是业务数据刷新周期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有，且与认领/审批状态直接相关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有，但主要用于报表或数据同步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有历史批处理，但新系统可以重新设计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没有，主要由人工页面操作驱动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14. 历史数据与运行口径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14.1 原生产中，是否存在“只有结构，没有完整历史明细”的条线？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有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没有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14.2 原系统是否强依赖历史数据连续性？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是，很多功能依赖历史累计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部分模块依赖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大部分模块只依赖当前业务数据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14.3 迁移时，如果先用 mock 数据跑通主链路，是否会影响业务规则确认？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不影响主规则判断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会影响部分边界规则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会严重影响对真实业务的判断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14.4 历史备注字段中拼接的审批轨迹，迁移后是否需要结构化保留？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优先级：P1</w:t>
      </w:r>
    </w:p>
    <w:p>
      <w:pPr>
        <w:pStyle w:val="Heading3"/>
        <w:spacing w:after="120" w:line="276" w:lineRule="auto"/>
        <w:keepNext/>
      </w:pPr>
      <w:r>
        <w:rPr>
          <w:rFonts w:ascii="Calibri" w:hAnsi="Calibri" w:eastAsia="SimSun"/>
          <w:sz w:val="23"/>
          <w:szCs w:val="23"/>
          <w:b/>
          <w:bCs/>
          <w:color w:val="1F4D78"/>
        </w:rPr>
        <w:t xml:space="preserve">参考数据上下文：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字段：REMARK、REMARK1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表线索：IBS.T1_VUCH_EMP_RELA、IBS.GOLD_EMP_RELA、IBS.T1_FUND_*_EMP_RELA、IBS.T6_VUCH_EMP_RELA_CHANGE_LOG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代码/页面线索：SubmitClaimGold.java、SubmitClaimFncTxn.java、claim_info.xml、com.ljbank.market.Util</w:t>
      </w:r>
    </w:p>
    <w:p>
      <w:pPr>
        <w:spacing w:after="8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• 当前观察：旧代码中大量将“认领时间、认领工号、审批时间、审批工号、审批理由”等拼接进备注字段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必须结构化迁移为审计日志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保留原备注文本即可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新系统只保留新发生操作的结构化日志，历史文本归档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不需要迁移历史备注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不确定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1"/>
        <w:spacing w:after="180" w:line="276" w:lineRule="auto"/>
        <w:keepNext/>
      </w:pPr>
      <w:r>
        <w:rPr>
          <w:rFonts w:ascii="Calibri" w:hAnsi="Calibri" w:eastAsia="SimSun"/>
          <w:sz w:val="32"/>
          <w:szCs w:val="32"/>
          <w:b/>
          <w:bCs/>
          <w:color w:val="1F4D78"/>
        </w:rPr>
        <w:t xml:space="preserve">15. 迁移约束确认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15.1 以下哪些内容在新系统中必须保持与旧系统一致？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角色边界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状态流转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归属比例规则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审批层级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数据可见范围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F. 审计留痕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G. 页面结构与菜单名称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H.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15.2 以下哪些内容在新系统中可以调整？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页面交互方式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菜单组织方式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技术实现方式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数据库物理设计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权限实现技术方案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F.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p>
      <w:pPr>
        <w:pStyle w:val="Heading2"/>
        <w:spacing w:after="140" w:line="276" w:lineRule="auto"/>
        <w:keepNext/>
      </w:pPr>
      <w:r>
        <w:rPr>
          <w:rFonts w:ascii="Calibri" w:hAnsi="Calibri" w:eastAsia="SimSun"/>
          <w:sz w:val="26"/>
          <w:szCs w:val="26"/>
          <w:b/>
          <w:bCs/>
          <w:color w:val="2E74B5"/>
        </w:rPr>
        <w:t xml:space="preserve">15.3 如果新系统与旧系统出现差异，产品上最不能接受的是哪一类差异？</w:t>
      </w:r>
    </w:p>
    <w:p>
      <w:pPr>
        <w:spacing w:after="80" w:line="276" w:lineRule="auto"/>
      </w:pPr>
      <w:r>
        <w:rPr>
          <w:rFonts w:ascii="Calibri" w:hAnsi="Calibri" w:eastAsia="SimSun"/>
          <w:sz w:val="20"/>
          <w:szCs w:val="20"/>
          <w:b/>
          <w:bCs/>
          <w:color w:val="7A5A00"/>
        </w:rPr>
        <w:t xml:space="preserve">优先级：P0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A. 业务结果不一致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B. 审批链路不一致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C. 权限范围不一致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D. 状态定义不一致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E. 页面样式不一致</w:t>
      </w:r>
    </w:p>
    <w:p>
      <w:pPr>
        <w:spacing w:after="70" w:line="276" w:lineRule="auto"/>
        <w:ind w:left="360" w:hanging="260"/>
      </w:pPr>
      <w:r>
        <w:rPr>
          <w:rFonts w:ascii="Calibri" w:hAnsi="Calibri" w:eastAsia="SimSun"/>
          <w:sz w:val="22"/>
          <w:szCs w:val="22"/>
        </w:rPr>
        <w:t xml:space="preserve">□ F. 其他，请补充</w:t>
      </w:r>
    </w:p>
    <w:p>
      <w:pPr>
        <w:spacing w:after="160" w:line="276" w:lineRule="auto"/>
      </w:pPr>
      <w:r>
        <w:rPr>
          <w:rFonts w:ascii="Calibri" w:hAnsi="Calibri" w:eastAsia="SimSun"/>
          <w:sz w:val="22"/>
          <w:szCs w:val="22"/>
        </w:rPr>
        <w:t xml:space="preserve">备注：_______________________________________________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SimSun"/>
  <w:font w:name="SimHe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SimSun"/>
      <w:sz w:val="22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Calibri" w:hAnsi="Calibri" w:eastAsia="SimHei"/>
      <w:b/>
      <w:bCs/>
      <w:color w:val="1F4D78"/>
      <w:sz w:val="32"/>
    </w:rPr>
  </w:style>
  <w:style w:type="paragraph" w:styleId="Heading2">
    <w:name w:val="heading 2"/>
    <w:basedOn w:val="Normal"/>
    <w:next w:val="Normal"/>
    <w:pPr>
      <w:spacing w:before="240" w:after="140"/>
      <w:outlineLvl w:val="1"/>
    </w:pPr>
    <w:rPr>
      <w:rFonts w:ascii="Calibri" w:hAnsi="Calibri" w:eastAsia="SimHei"/>
      <w:b/>
      <w:bCs/>
      <w:color w:val="2E74B5"/>
      <w:sz w:val="26"/>
    </w:rPr>
  </w:style>
  <w:style w:type="paragraph" w:styleId="Heading3">
    <w:name w:val="heading 3"/>
    <w:basedOn w:val="Normal"/>
    <w:next w:val="Normal"/>
    <w:pPr>
      <w:spacing w:before="160" w:after="100"/>
      <w:outlineLvl w:val="2"/>
    </w:pPr>
    <w:rPr>
      <w:rFonts w:ascii="Calibri" w:hAnsi="Calibri" w:eastAsia="SimHei"/>
      <w:b/>
      <w:bCs/>
      <w:color w:val="1F4D78"/>
      <w:sz w:val="23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fontTable" Target="fontTable.xml"/>
</Relationships>
</file>