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Ilustração dos Algoritmos de Ordenação</w:t>
      </w:r>
    </w:p>
    <w:p>
      <w:pPr>
        <w:pStyle w:val="Heading2"/>
      </w:pPr>
      <w:r>
        <w:t>1. Introdução</w:t>
      </w:r>
    </w:p>
    <w:p>
      <w:r>
        <w:t>Este documento ilustra como os algoritmos de ordenação reorganizam os elementos a cada etapa. Os algoritmos abordados são:</w:t>
        <w:br/>
        <w:t>- Merge Sort: utiliza o paradigma de divisão e conquista para ordenar os elementos.</w:t>
        <w:br/>
        <w:t>- Quick Sort: utiliza um pivô para dividir os elementos em duas partes e ordenar recursivamente.</w:t>
        <w:br/>
        <w:t>- Selection Sort: seleciona repetidamente o menor elemento e o posiciona no início da lista.</w:t>
      </w:r>
    </w:p>
    <w:p>
      <w:pPr>
        <w:pStyle w:val="Heading2"/>
      </w:pPr>
      <w:r>
        <w:t>2. Merge Sort</w:t>
      </w:r>
    </w:p>
    <w:p>
      <w:r>
        <w:t>O Merge Sort divide a lista em partes menores, ordena cada parte e as combina. Abaixo estão os passos do algoritmo.</w:t>
      </w:r>
    </w:p>
    <w:p>
      <w:r>
        <w:t>Etapa 1: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ge_sort_step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2: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ge_sort_step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3: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ge_sort_step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4: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ge_sort_step_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Quick Sort</w:t>
      </w:r>
    </w:p>
    <w:p>
      <w:r>
        <w:t>O Quick Sort escolhe um pivô e reorganiza os elementos com base no pivô, dividindo a lista em duas partes para ordenar.</w:t>
      </w:r>
    </w:p>
    <w:p>
      <w:r>
        <w:t>Etapa 1: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ick_sort_step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2: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ick_sort_step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3: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ick_sort_step_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Selection Sort</w:t>
      </w:r>
    </w:p>
    <w:p>
      <w:r>
        <w:t>O Selection Sort encontra o menor elemento e o coloca na posição correta repetidamente até que toda a lista esteja ordenada.</w:t>
      </w:r>
    </w:p>
    <w:p>
      <w:r>
        <w:t>Etapa 1: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on_sort_step_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2: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on_sort_step_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3: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on_sort_step_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Etapa 4:</w:t>
      </w:r>
    </w:p>
    <w:p>
      <w:r>
        <w:drawing>
          <wp:inline xmlns:a="http://schemas.openxmlformats.org/drawingml/2006/main" xmlns:pic="http://schemas.openxmlformats.org/drawingml/2006/picture">
            <wp:extent cx="4572000" cy="263488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on_sort_step_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Conclusão</w:t>
      </w:r>
    </w:p>
    <w:p>
      <w:r>
        <w:t>Os algoritmos de ordenação apresentados possuem diferentes abordagens para resolver o mesmo problema. O Merge Sort e o Quick Sort são mais eficientes para grandes conjuntos de dados, enquanto o Selection Sort é mais simples, mas menos eficiente.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