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2438" w14:textId="77777777" w:rsidR="000D677E" w:rsidRPr="004C302D" w:rsidRDefault="000D677E" w:rsidP="004C302D">
      <w:pPr>
        <w:spacing w:line="480" w:lineRule="auto"/>
        <w:jc w:val="center"/>
        <w:rPr>
          <w:rFonts w:ascii="Times New Roman" w:hAnsi="Times New Roman" w:cs="Times New Roman"/>
          <w:b/>
          <w:bCs/>
          <w:sz w:val="24"/>
          <w:szCs w:val="24"/>
        </w:rPr>
      </w:pPr>
    </w:p>
    <w:p w14:paraId="7CB21BF0" w14:textId="77777777" w:rsidR="000D677E" w:rsidRPr="004C302D" w:rsidRDefault="000D677E" w:rsidP="004C302D">
      <w:pPr>
        <w:spacing w:line="480" w:lineRule="auto"/>
        <w:jc w:val="center"/>
        <w:rPr>
          <w:rFonts w:ascii="Times New Roman" w:hAnsi="Times New Roman" w:cs="Times New Roman"/>
          <w:b/>
          <w:bCs/>
          <w:sz w:val="24"/>
          <w:szCs w:val="24"/>
        </w:rPr>
      </w:pPr>
    </w:p>
    <w:p w14:paraId="481141A2" w14:textId="77777777" w:rsidR="000D677E" w:rsidRPr="004C302D" w:rsidRDefault="000D677E" w:rsidP="004C302D">
      <w:pPr>
        <w:spacing w:line="480" w:lineRule="auto"/>
        <w:jc w:val="center"/>
        <w:rPr>
          <w:rFonts w:ascii="Times New Roman" w:hAnsi="Times New Roman" w:cs="Times New Roman"/>
          <w:b/>
          <w:bCs/>
          <w:sz w:val="24"/>
          <w:szCs w:val="24"/>
        </w:rPr>
      </w:pPr>
    </w:p>
    <w:p w14:paraId="4D5A108C" w14:textId="77777777" w:rsidR="000D677E" w:rsidRPr="004C302D" w:rsidRDefault="000D677E" w:rsidP="004C302D">
      <w:pPr>
        <w:spacing w:line="480" w:lineRule="auto"/>
        <w:jc w:val="center"/>
        <w:rPr>
          <w:rFonts w:ascii="Times New Roman" w:hAnsi="Times New Roman" w:cs="Times New Roman"/>
          <w:b/>
          <w:bCs/>
          <w:sz w:val="24"/>
          <w:szCs w:val="24"/>
        </w:rPr>
      </w:pPr>
    </w:p>
    <w:p w14:paraId="276D01CF" w14:textId="77777777" w:rsidR="000D677E" w:rsidRPr="004C302D" w:rsidRDefault="000D677E" w:rsidP="004C302D">
      <w:pPr>
        <w:spacing w:line="480" w:lineRule="auto"/>
        <w:jc w:val="center"/>
        <w:rPr>
          <w:rFonts w:ascii="Times New Roman" w:hAnsi="Times New Roman" w:cs="Times New Roman"/>
          <w:b/>
          <w:bCs/>
          <w:sz w:val="24"/>
          <w:szCs w:val="24"/>
        </w:rPr>
      </w:pPr>
    </w:p>
    <w:p w14:paraId="2BE8155D" w14:textId="1339B1F7" w:rsidR="004E1327" w:rsidRPr="004C302D" w:rsidRDefault="00000000" w:rsidP="004C302D">
      <w:pPr>
        <w:spacing w:line="480" w:lineRule="auto"/>
        <w:jc w:val="center"/>
        <w:rPr>
          <w:rFonts w:ascii="Times New Roman" w:hAnsi="Times New Roman" w:cs="Times New Roman"/>
          <w:b/>
          <w:bCs/>
          <w:sz w:val="24"/>
          <w:szCs w:val="24"/>
        </w:rPr>
      </w:pPr>
      <w:r w:rsidRPr="004E1327">
        <w:rPr>
          <w:rFonts w:ascii="Times New Roman" w:hAnsi="Times New Roman" w:cs="Times New Roman"/>
          <w:b/>
          <w:bCs/>
          <w:sz w:val="24"/>
          <w:szCs w:val="24"/>
        </w:rPr>
        <w:t>Applying Open System Theory to the National Urban League in Response to Pandemic Dynamics and the Murder of George Floyd</w:t>
      </w:r>
    </w:p>
    <w:p w14:paraId="713F461F" w14:textId="77777777" w:rsidR="000D677E" w:rsidRPr="004E1327" w:rsidRDefault="000D677E" w:rsidP="004C302D">
      <w:pPr>
        <w:spacing w:line="480" w:lineRule="auto"/>
        <w:jc w:val="center"/>
        <w:rPr>
          <w:rFonts w:ascii="Times New Roman" w:hAnsi="Times New Roman" w:cs="Times New Roman"/>
          <w:b/>
          <w:bCs/>
          <w:sz w:val="24"/>
          <w:szCs w:val="24"/>
        </w:rPr>
      </w:pPr>
    </w:p>
    <w:p w14:paraId="2938E03F" w14:textId="77777777" w:rsidR="004E1327" w:rsidRPr="004C302D" w:rsidRDefault="00000000" w:rsidP="004C302D">
      <w:pPr>
        <w:spacing w:line="480" w:lineRule="auto"/>
        <w:jc w:val="center"/>
        <w:rPr>
          <w:rFonts w:ascii="Times New Roman" w:hAnsi="Times New Roman" w:cs="Times New Roman"/>
          <w:sz w:val="24"/>
          <w:szCs w:val="24"/>
        </w:rPr>
      </w:pPr>
      <w:r w:rsidRPr="004C302D">
        <w:rPr>
          <w:rFonts w:ascii="Times New Roman" w:hAnsi="Times New Roman" w:cs="Times New Roman"/>
          <w:sz w:val="24"/>
          <w:szCs w:val="24"/>
        </w:rPr>
        <w:t>Student’s Name</w:t>
      </w:r>
    </w:p>
    <w:p w14:paraId="07123E9F" w14:textId="77777777" w:rsidR="004E1327" w:rsidRPr="004C302D" w:rsidRDefault="00000000" w:rsidP="004C302D">
      <w:pPr>
        <w:spacing w:line="480" w:lineRule="auto"/>
        <w:jc w:val="center"/>
        <w:rPr>
          <w:rFonts w:ascii="Times New Roman" w:hAnsi="Times New Roman" w:cs="Times New Roman"/>
          <w:sz w:val="24"/>
          <w:szCs w:val="24"/>
        </w:rPr>
      </w:pPr>
      <w:r w:rsidRPr="004C302D">
        <w:rPr>
          <w:rFonts w:ascii="Times New Roman" w:hAnsi="Times New Roman" w:cs="Times New Roman"/>
          <w:sz w:val="24"/>
          <w:szCs w:val="24"/>
        </w:rPr>
        <w:t>Institutional Affiliation</w:t>
      </w:r>
    </w:p>
    <w:p w14:paraId="77238B6D" w14:textId="77777777" w:rsidR="004E1327" w:rsidRPr="004C302D" w:rsidRDefault="00000000" w:rsidP="004C302D">
      <w:pPr>
        <w:spacing w:line="480" w:lineRule="auto"/>
        <w:jc w:val="center"/>
        <w:rPr>
          <w:rFonts w:ascii="Times New Roman" w:hAnsi="Times New Roman" w:cs="Times New Roman"/>
          <w:sz w:val="24"/>
          <w:szCs w:val="24"/>
        </w:rPr>
      </w:pPr>
      <w:r w:rsidRPr="004C302D">
        <w:rPr>
          <w:rFonts w:ascii="Times New Roman" w:hAnsi="Times New Roman" w:cs="Times New Roman"/>
          <w:sz w:val="24"/>
          <w:szCs w:val="24"/>
        </w:rPr>
        <w:t>Course Number and Name</w:t>
      </w:r>
    </w:p>
    <w:p w14:paraId="012B6328" w14:textId="77777777" w:rsidR="004E1327" w:rsidRPr="004C302D" w:rsidRDefault="00000000" w:rsidP="004C302D">
      <w:pPr>
        <w:spacing w:line="480" w:lineRule="auto"/>
        <w:jc w:val="center"/>
        <w:rPr>
          <w:rFonts w:ascii="Times New Roman" w:hAnsi="Times New Roman" w:cs="Times New Roman"/>
          <w:sz w:val="24"/>
          <w:szCs w:val="24"/>
        </w:rPr>
      </w:pPr>
      <w:r w:rsidRPr="004C302D">
        <w:rPr>
          <w:rFonts w:ascii="Times New Roman" w:hAnsi="Times New Roman" w:cs="Times New Roman"/>
          <w:sz w:val="24"/>
          <w:szCs w:val="24"/>
        </w:rPr>
        <w:t>Instructor’s Name</w:t>
      </w:r>
    </w:p>
    <w:p w14:paraId="5B5A635C" w14:textId="68AABA2D" w:rsidR="004E1327" w:rsidRPr="004C302D" w:rsidRDefault="00000000" w:rsidP="004C302D">
      <w:pPr>
        <w:spacing w:line="480" w:lineRule="auto"/>
        <w:jc w:val="center"/>
        <w:rPr>
          <w:rFonts w:ascii="Times New Roman" w:hAnsi="Times New Roman" w:cs="Times New Roman"/>
          <w:sz w:val="24"/>
          <w:szCs w:val="24"/>
        </w:rPr>
      </w:pPr>
      <w:r w:rsidRPr="004C302D">
        <w:rPr>
          <w:rFonts w:ascii="Times New Roman" w:hAnsi="Times New Roman" w:cs="Times New Roman"/>
          <w:sz w:val="24"/>
          <w:szCs w:val="24"/>
        </w:rPr>
        <w:t>Assignment Due Date</w:t>
      </w:r>
      <w:r w:rsidRPr="004C302D">
        <w:rPr>
          <w:rFonts w:ascii="Times New Roman" w:hAnsi="Times New Roman" w:cs="Times New Roman"/>
          <w:sz w:val="24"/>
          <w:szCs w:val="24"/>
        </w:rPr>
        <w:br w:type="page"/>
      </w:r>
    </w:p>
    <w:p w14:paraId="485E8654" w14:textId="6CD94AF2" w:rsidR="00C345CA" w:rsidRPr="004C302D" w:rsidRDefault="00000000" w:rsidP="004C302D">
      <w:pPr>
        <w:spacing w:line="480" w:lineRule="auto"/>
        <w:jc w:val="center"/>
        <w:rPr>
          <w:rFonts w:ascii="Times New Roman" w:hAnsi="Times New Roman" w:cs="Times New Roman"/>
          <w:sz w:val="24"/>
          <w:szCs w:val="24"/>
        </w:rPr>
      </w:pPr>
      <w:r w:rsidRPr="004C302D">
        <w:rPr>
          <w:rFonts w:ascii="Times New Roman" w:hAnsi="Times New Roman" w:cs="Times New Roman"/>
          <w:sz w:val="24"/>
          <w:szCs w:val="24"/>
        </w:rPr>
        <w:lastRenderedPageBreak/>
        <w:t>Abstract</w:t>
      </w:r>
    </w:p>
    <w:p w14:paraId="615B0087" w14:textId="15DFD97E" w:rsidR="00C345CA" w:rsidRPr="004C302D" w:rsidRDefault="00000000" w:rsidP="004C302D">
      <w:pPr>
        <w:spacing w:line="480" w:lineRule="auto"/>
        <w:rPr>
          <w:rFonts w:ascii="Times New Roman" w:hAnsi="Times New Roman" w:cs="Times New Roman"/>
          <w:sz w:val="24"/>
          <w:szCs w:val="24"/>
        </w:rPr>
      </w:pPr>
      <w:r w:rsidRPr="004C302D">
        <w:rPr>
          <w:rFonts w:ascii="Times New Roman" w:hAnsi="Times New Roman" w:cs="Times New Roman"/>
          <w:sz w:val="24"/>
          <w:szCs w:val="24"/>
        </w:rPr>
        <w:t>Considering the complex dynamics of the pandemic and George Floyd's killing, this paper analyzes the National Urban League's (NUL) reaction to these threats. Additionally, the research paper examines the NUL's adaptation tactics through the prism of organizational theories and perspectives, with particular attention paid to the ideas of input, transformation, including output. The Digital Inclusion Initiative, which works to bridge the digital gap brought on by the epidemic, and the move toward community-centered advocacy, which places a premium on the empowerment of grassroots activities, are examined in depth in the analysis. The piece also emphasizes the NUL's strategic relationships to increase its influence and facilitate systemic changes. Analysis shows the NUL is resilient, flexible, and dedicated to empowering urban populations by promoting civil rights, social justice, and economic empowerment. Therefore, this study sheds light on how civil rights groups might adapt to changing conditions and gives practical advice for dealing with these new factors.</w:t>
      </w:r>
    </w:p>
    <w:p w14:paraId="0449BCFA" w14:textId="77777777" w:rsidR="00C0327C" w:rsidRPr="004C302D" w:rsidRDefault="00000000" w:rsidP="004C302D">
      <w:pPr>
        <w:spacing w:line="480" w:lineRule="auto"/>
        <w:rPr>
          <w:rFonts w:ascii="Times New Roman" w:hAnsi="Times New Roman" w:cs="Times New Roman"/>
          <w:sz w:val="24"/>
          <w:szCs w:val="24"/>
        </w:rPr>
      </w:pPr>
      <w:r w:rsidRPr="004C302D">
        <w:rPr>
          <w:rFonts w:ascii="Times New Roman" w:hAnsi="Times New Roman" w:cs="Times New Roman"/>
          <w:sz w:val="24"/>
          <w:szCs w:val="24"/>
        </w:rPr>
        <w:br w:type="page"/>
      </w:r>
    </w:p>
    <w:p w14:paraId="10CBD35E" w14:textId="01C1D65F" w:rsidR="00E15CA8" w:rsidRPr="004C302D" w:rsidRDefault="00000000" w:rsidP="004C302D">
      <w:pPr>
        <w:spacing w:line="480" w:lineRule="auto"/>
        <w:jc w:val="center"/>
        <w:rPr>
          <w:rFonts w:ascii="Times New Roman" w:hAnsi="Times New Roman" w:cs="Times New Roman"/>
          <w:b/>
          <w:bCs/>
          <w:sz w:val="24"/>
          <w:szCs w:val="24"/>
        </w:rPr>
      </w:pPr>
      <w:r w:rsidRPr="004C302D">
        <w:rPr>
          <w:rFonts w:ascii="Times New Roman" w:hAnsi="Times New Roman" w:cs="Times New Roman"/>
          <w:b/>
          <w:bCs/>
          <w:sz w:val="24"/>
          <w:szCs w:val="24"/>
        </w:rPr>
        <w:lastRenderedPageBreak/>
        <w:t>Introduction</w:t>
      </w:r>
    </w:p>
    <w:p w14:paraId="4C473A04" w14:textId="427010E3" w:rsidR="00782BA6"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One of the most recognizable civil rights organizations, the National Urban League (NUL), works to reduce economic and social disparities in metropolitan areas. Since its founding a century ago, the NUL has been a leading voice in the fight for civil rights, women's liberation, and economic and social justice. New challenges have arisen for the organization, primarily because of the dynamics of pandemics and the effects resulting from the death of George Floyd. Therefore, this research paper aims to apply open system theory to the NUL by examining the repercussions of these occurrences on the organization and suggesting solutions to the problems that have arisen.</w:t>
      </w:r>
    </w:p>
    <w:p w14:paraId="02794A4E" w14:textId="77D7D598" w:rsidR="0085112B" w:rsidRPr="004C302D" w:rsidRDefault="00000000" w:rsidP="004C302D">
      <w:pPr>
        <w:spacing w:line="480" w:lineRule="auto"/>
        <w:jc w:val="center"/>
        <w:rPr>
          <w:rFonts w:ascii="Times New Roman" w:hAnsi="Times New Roman" w:cs="Times New Roman"/>
          <w:b/>
          <w:bCs/>
          <w:sz w:val="24"/>
          <w:szCs w:val="24"/>
        </w:rPr>
      </w:pPr>
      <w:r w:rsidRPr="004C302D">
        <w:rPr>
          <w:rFonts w:ascii="Times New Roman" w:hAnsi="Times New Roman" w:cs="Times New Roman"/>
          <w:b/>
          <w:bCs/>
          <w:sz w:val="24"/>
          <w:szCs w:val="24"/>
        </w:rPr>
        <w:t>Identification of Issues</w:t>
      </w:r>
    </w:p>
    <w:p w14:paraId="238E3B46" w14:textId="4C2E9F14" w:rsidR="00657D4A" w:rsidRPr="004C302D" w:rsidRDefault="00000000" w:rsidP="004C302D">
      <w:pPr>
        <w:spacing w:line="480" w:lineRule="auto"/>
        <w:rPr>
          <w:rFonts w:ascii="Times New Roman" w:hAnsi="Times New Roman" w:cs="Times New Roman"/>
          <w:b/>
          <w:bCs/>
          <w:sz w:val="24"/>
          <w:szCs w:val="24"/>
        </w:rPr>
      </w:pPr>
      <w:r w:rsidRPr="004C302D">
        <w:rPr>
          <w:rFonts w:ascii="Times New Roman" w:hAnsi="Times New Roman" w:cs="Times New Roman"/>
          <w:b/>
          <w:bCs/>
          <w:sz w:val="24"/>
          <w:szCs w:val="24"/>
        </w:rPr>
        <w:t>I. Pandemic Dynamics</w:t>
      </w:r>
    </w:p>
    <w:p w14:paraId="0FB31883" w14:textId="2443AF89" w:rsidR="00EB679C"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The National Urban League faced multiple challenges once the COVID-19 epidemic broke out, which required constant invention and adaptation. The effects of the pandemic were felt in many areas of the organization, including day-to-day operations, community outreach, and policy advocacy.</w:t>
      </w:r>
      <w:r w:rsidR="00C7676E" w:rsidRPr="004C302D">
        <w:rPr>
          <w:rFonts w:ascii="Times New Roman" w:hAnsi="Times New Roman" w:cs="Times New Roman"/>
          <w:sz w:val="24"/>
          <w:szCs w:val="24"/>
        </w:rPr>
        <w:t xml:space="preserve"> One area significantly affected by the pandemic revolves around the disruption of traditional engagement channels. </w:t>
      </w:r>
      <w:r w:rsidRPr="004C302D">
        <w:rPr>
          <w:rFonts w:ascii="Times New Roman" w:hAnsi="Times New Roman" w:cs="Times New Roman"/>
          <w:sz w:val="24"/>
          <w:szCs w:val="24"/>
        </w:rPr>
        <w:t xml:space="preserve">To build relationships, communicate information, and </w:t>
      </w:r>
      <w:r w:rsidR="001A5932" w:rsidRPr="004C302D">
        <w:rPr>
          <w:rFonts w:ascii="Times New Roman" w:hAnsi="Times New Roman" w:cs="Times New Roman"/>
          <w:sz w:val="24"/>
          <w:szCs w:val="24"/>
        </w:rPr>
        <w:t>help</w:t>
      </w:r>
      <w:r w:rsidRPr="004C302D">
        <w:rPr>
          <w:rFonts w:ascii="Times New Roman" w:hAnsi="Times New Roman" w:cs="Times New Roman"/>
          <w:sz w:val="24"/>
          <w:szCs w:val="24"/>
        </w:rPr>
        <w:t xml:space="preserve"> underserved groups in metropolitan areas, the NUL, like many other groups, depended extensively on in-person events, seminars, and community meetings</w:t>
      </w:r>
      <w:r w:rsidR="003166E7" w:rsidRPr="004C302D">
        <w:rPr>
          <w:rFonts w:ascii="Times New Roman" w:hAnsi="Times New Roman" w:cs="Times New Roman"/>
          <w:sz w:val="24"/>
          <w:szCs w:val="24"/>
        </w:rPr>
        <w:t xml:space="preserve"> (Smith, 2021)</w:t>
      </w:r>
      <w:r w:rsidRPr="004C302D">
        <w:rPr>
          <w:rFonts w:ascii="Times New Roman" w:hAnsi="Times New Roman" w:cs="Times New Roman"/>
          <w:sz w:val="24"/>
          <w:szCs w:val="24"/>
        </w:rPr>
        <w:t>. Limits on mass gatherings and other social isolationist measures brought on by the epidemic jarred these established lines of communication. Therefore, the NUL had to quickly adapt to using digital media and means of communication.</w:t>
      </w:r>
    </w:p>
    <w:p w14:paraId="7D88BBD9" w14:textId="39443DAA" w:rsidR="005B517A"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lastRenderedPageBreak/>
        <w:t>There was also an issue based on digital divide amplification. A digital gap emerged among the communities the NUL aims to serve because of the increased emphasis on online participation. The inequitable involvement of underprivileged groups was hampered by widening gaps in access to technology, stable internet connections, and digital literacy</w:t>
      </w:r>
      <w:r w:rsidR="008F5D56" w:rsidRPr="004C302D">
        <w:rPr>
          <w:rFonts w:ascii="Times New Roman" w:hAnsi="Times New Roman" w:cs="Times New Roman"/>
          <w:sz w:val="24"/>
          <w:szCs w:val="24"/>
        </w:rPr>
        <w:t xml:space="preserve"> (Cadenas et al., 2023)</w:t>
      </w:r>
      <w:r w:rsidRPr="004C302D">
        <w:rPr>
          <w:rFonts w:ascii="Times New Roman" w:hAnsi="Times New Roman" w:cs="Times New Roman"/>
          <w:sz w:val="24"/>
          <w:szCs w:val="24"/>
        </w:rPr>
        <w:t>. The</w:t>
      </w:r>
      <w:r w:rsidR="005A3A7C">
        <w:rPr>
          <w:rFonts w:ascii="Times New Roman" w:hAnsi="Times New Roman" w:cs="Times New Roman"/>
          <w:sz w:val="24"/>
          <w:szCs w:val="24"/>
        </w:rPr>
        <w:t>refore, the</w:t>
      </w:r>
      <w:r w:rsidRPr="004C302D">
        <w:rPr>
          <w:rFonts w:ascii="Times New Roman" w:hAnsi="Times New Roman" w:cs="Times New Roman"/>
          <w:sz w:val="24"/>
          <w:szCs w:val="24"/>
        </w:rPr>
        <w:t xml:space="preserve"> National Urban League must overcome obstacles like these to help people in most need of its online projects.</w:t>
      </w:r>
    </w:p>
    <w:p w14:paraId="31F85889" w14:textId="7AF15333" w:rsidR="00FE32CA"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Evolving community needs is yet another factor that ought to be considered. The worldwide epidemic exacerbated existing socioeconomic issues within urban populations, such as unemployment, unstable housing, and healthcare inequities. The NUL had to change its programming to accommodate these shifting priorities and the unique difficulties created by the epidemic, such as a lack of healthcare infrastructure and credible data.</w:t>
      </w:r>
    </w:p>
    <w:p w14:paraId="1D8E5B9E" w14:textId="5F1DB686" w:rsidR="00FE32CA" w:rsidRPr="004C302D" w:rsidRDefault="00000000" w:rsidP="004C302D">
      <w:pPr>
        <w:spacing w:line="480" w:lineRule="auto"/>
        <w:rPr>
          <w:rFonts w:ascii="Times New Roman" w:hAnsi="Times New Roman" w:cs="Times New Roman"/>
          <w:b/>
          <w:bCs/>
          <w:sz w:val="24"/>
          <w:szCs w:val="24"/>
        </w:rPr>
      </w:pPr>
      <w:r w:rsidRPr="004C302D">
        <w:rPr>
          <w:rFonts w:ascii="Times New Roman" w:hAnsi="Times New Roman" w:cs="Times New Roman"/>
          <w:b/>
          <w:bCs/>
          <w:sz w:val="24"/>
          <w:szCs w:val="24"/>
        </w:rPr>
        <w:t xml:space="preserve">II. </w:t>
      </w:r>
      <w:r w:rsidR="00D411A7" w:rsidRPr="004C302D">
        <w:rPr>
          <w:rFonts w:ascii="Times New Roman" w:hAnsi="Times New Roman" w:cs="Times New Roman"/>
          <w:b/>
          <w:bCs/>
          <w:sz w:val="24"/>
          <w:szCs w:val="24"/>
        </w:rPr>
        <w:t>Impact of George Floyd’s Murder</w:t>
      </w:r>
    </w:p>
    <w:p w14:paraId="7604F234" w14:textId="7F18B3DB" w:rsidR="005B517A"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As a result of the worldwide outrage that George Floyd's murder sparked regarding racial injustice and police brutality, the National Urban League had to reevaluate its goals, lobbying techniques, and community involvement tactics. After George Floyd was murdered, the National Urban League knew it had to do something about systematic racism and police violence</w:t>
      </w:r>
      <w:r w:rsidR="00731DEB" w:rsidRPr="004C302D">
        <w:rPr>
          <w:rFonts w:ascii="Times New Roman" w:hAnsi="Times New Roman" w:cs="Times New Roman"/>
          <w:sz w:val="24"/>
          <w:szCs w:val="24"/>
        </w:rPr>
        <w:t xml:space="preserve"> (Rekia &amp; Mostéfaoui, 2022)</w:t>
      </w:r>
      <w:r w:rsidRPr="004C302D">
        <w:rPr>
          <w:rFonts w:ascii="Times New Roman" w:hAnsi="Times New Roman" w:cs="Times New Roman"/>
          <w:sz w:val="24"/>
          <w:szCs w:val="24"/>
        </w:rPr>
        <w:t>. After this occurrence, the organization increased its lobbying activities, calling for more transparency, policy changes, and an end to discriminatory practices. The NUL was revitalized as a powerful advocate for social justice when it found itself at the vanguard of a new civil rights movement.</w:t>
      </w:r>
    </w:p>
    <w:p w14:paraId="47B47583" w14:textId="54DB9A24" w:rsidR="004C6FF6"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 xml:space="preserve">Protests and demonstrations were held around the United States and the world in response to George Floyd's death. To channel public indignation into organized and meaningful </w:t>
      </w:r>
      <w:r w:rsidRPr="004C302D">
        <w:rPr>
          <w:rFonts w:ascii="Times New Roman" w:hAnsi="Times New Roman" w:cs="Times New Roman"/>
          <w:sz w:val="24"/>
          <w:szCs w:val="24"/>
        </w:rPr>
        <w:lastRenderedPageBreak/>
        <w:t>action, the NUL played a crucial role in rallying communities to advocate for change through nonviolent means. The association organized forums, town hall meetings, and marches so that locals could air their grievances and call for change</w:t>
      </w:r>
      <w:r w:rsidR="00F67AE2" w:rsidRPr="004C302D">
        <w:rPr>
          <w:rFonts w:ascii="Times New Roman" w:hAnsi="Times New Roman" w:cs="Times New Roman"/>
          <w:sz w:val="24"/>
          <w:szCs w:val="24"/>
        </w:rPr>
        <w:t xml:space="preserve"> (Eagan, 2021)</w:t>
      </w:r>
      <w:r w:rsidRPr="004C302D">
        <w:rPr>
          <w:rFonts w:ascii="Times New Roman" w:hAnsi="Times New Roman" w:cs="Times New Roman"/>
          <w:sz w:val="24"/>
          <w:szCs w:val="24"/>
        </w:rPr>
        <w:t>. In addition, the NUL has expanded its network of affiliates to include other civil rights groups, grassroots movements, including advocacy organizations in response to George Floyd's death. Working together, the NUL and its partners were able to address the systemic problems at hand more comprehensively and effectively. The NUL might have a more significant impact if it joined forces with other groups working toward the same goals.</w:t>
      </w:r>
    </w:p>
    <w:p w14:paraId="2B8357E7" w14:textId="4C6DD7B2" w:rsidR="003E6CDB"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The NUL broadened its aid initiatives following George Floyd's death to meet the residents' increased demands. To address the psychological impact of racial violence on vulnerable populations, these projects provided access to mental health care, legal representation, community rehabilitation programs, and trauma-informed care services</w:t>
      </w:r>
      <w:r w:rsidR="00A876BB" w:rsidRPr="004C302D">
        <w:rPr>
          <w:rFonts w:ascii="Times New Roman" w:hAnsi="Times New Roman" w:cs="Times New Roman"/>
          <w:sz w:val="24"/>
          <w:szCs w:val="24"/>
        </w:rPr>
        <w:t xml:space="preserve"> (Harvey, 2022)</w:t>
      </w:r>
      <w:r w:rsidRPr="004C302D">
        <w:rPr>
          <w:rFonts w:ascii="Times New Roman" w:hAnsi="Times New Roman" w:cs="Times New Roman"/>
          <w:sz w:val="24"/>
          <w:szCs w:val="24"/>
        </w:rPr>
        <w:t>. In addition, the organization stepped up its efforts to educate the public on the existence of and solutions to systematic racism, injustice, and racial inequities. The group disseminated information on the structural obstacles encountered by communities of color using social media, webcasts, including media interviews to increase people's awareness and compassion.</w:t>
      </w:r>
    </w:p>
    <w:p w14:paraId="03E19257" w14:textId="7CF52A69" w:rsidR="00D250F2" w:rsidRPr="004C302D" w:rsidRDefault="00000000" w:rsidP="004C302D">
      <w:pPr>
        <w:spacing w:line="480" w:lineRule="auto"/>
        <w:jc w:val="center"/>
        <w:rPr>
          <w:rFonts w:ascii="Times New Roman" w:hAnsi="Times New Roman" w:cs="Times New Roman"/>
          <w:b/>
          <w:bCs/>
          <w:sz w:val="24"/>
          <w:szCs w:val="24"/>
        </w:rPr>
      </w:pPr>
      <w:r w:rsidRPr="004C302D">
        <w:rPr>
          <w:rFonts w:ascii="Times New Roman" w:hAnsi="Times New Roman" w:cs="Times New Roman"/>
          <w:b/>
          <w:bCs/>
          <w:sz w:val="24"/>
          <w:szCs w:val="24"/>
        </w:rPr>
        <w:t>Analysis and Evaluation</w:t>
      </w:r>
    </w:p>
    <w:p w14:paraId="2CBE5963" w14:textId="6369A807" w:rsidR="00712AD6" w:rsidRPr="004C302D" w:rsidRDefault="00000000" w:rsidP="004C302D">
      <w:pPr>
        <w:spacing w:line="480" w:lineRule="auto"/>
        <w:jc w:val="center"/>
        <w:rPr>
          <w:rFonts w:ascii="Times New Roman" w:hAnsi="Times New Roman" w:cs="Times New Roman"/>
          <w:b/>
          <w:bCs/>
          <w:sz w:val="24"/>
          <w:szCs w:val="24"/>
        </w:rPr>
      </w:pPr>
      <w:r w:rsidRPr="004C302D">
        <w:rPr>
          <w:rFonts w:ascii="Times New Roman" w:hAnsi="Times New Roman" w:cs="Times New Roman"/>
          <w:b/>
          <w:bCs/>
          <w:sz w:val="24"/>
          <w:szCs w:val="24"/>
        </w:rPr>
        <w:t>Open System Theory</w:t>
      </w:r>
    </w:p>
    <w:p w14:paraId="6762AA99" w14:textId="499370C7" w:rsidR="00712AD6"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According to the open system theory, organizations are living, breathing organisms that respond to external stimuli, learn from experience, and ultimately succeed by taking in information, processing it, and disseminating it to the appropriate stakeholders</w:t>
      </w:r>
      <w:r w:rsidR="00D54463" w:rsidRPr="004C302D">
        <w:rPr>
          <w:rFonts w:ascii="Times New Roman" w:hAnsi="Times New Roman" w:cs="Times New Roman"/>
          <w:sz w:val="24"/>
          <w:szCs w:val="24"/>
        </w:rPr>
        <w:t xml:space="preserve"> (Barkanian, </w:t>
      </w:r>
      <w:r w:rsidR="00D54463" w:rsidRPr="004C302D">
        <w:rPr>
          <w:rFonts w:ascii="Times New Roman" w:hAnsi="Times New Roman" w:cs="Times New Roman"/>
          <w:sz w:val="24"/>
          <w:szCs w:val="24"/>
        </w:rPr>
        <w:lastRenderedPageBreak/>
        <w:t>2020)</w:t>
      </w:r>
      <w:r w:rsidRPr="004C302D">
        <w:rPr>
          <w:rFonts w:ascii="Times New Roman" w:hAnsi="Times New Roman" w:cs="Times New Roman"/>
          <w:sz w:val="24"/>
          <w:szCs w:val="24"/>
        </w:rPr>
        <w:t xml:space="preserve">. The NUL's flexibility and the difficulties it faces </w:t>
      </w:r>
      <w:r w:rsidR="004D6C8B" w:rsidRPr="004C302D">
        <w:rPr>
          <w:rFonts w:ascii="Times New Roman" w:hAnsi="Times New Roman" w:cs="Times New Roman"/>
          <w:sz w:val="24"/>
          <w:szCs w:val="24"/>
        </w:rPr>
        <w:t>considering</w:t>
      </w:r>
      <w:r w:rsidRPr="004C302D">
        <w:rPr>
          <w:rFonts w:ascii="Times New Roman" w:hAnsi="Times New Roman" w:cs="Times New Roman"/>
          <w:sz w:val="24"/>
          <w:szCs w:val="24"/>
        </w:rPr>
        <w:t xml:space="preserve"> the new dynamics are shown by employing this theory </w:t>
      </w:r>
      <w:r w:rsidR="001833FA" w:rsidRPr="004C302D">
        <w:rPr>
          <w:rFonts w:ascii="Times New Roman" w:hAnsi="Times New Roman" w:cs="Times New Roman"/>
          <w:sz w:val="24"/>
          <w:szCs w:val="24"/>
        </w:rPr>
        <w:t>in</w:t>
      </w:r>
      <w:r w:rsidRPr="004C302D">
        <w:rPr>
          <w:rFonts w:ascii="Times New Roman" w:hAnsi="Times New Roman" w:cs="Times New Roman"/>
          <w:sz w:val="24"/>
          <w:szCs w:val="24"/>
        </w:rPr>
        <w:t xml:space="preserve"> </w:t>
      </w:r>
      <w:r w:rsidR="004D6C8B" w:rsidRPr="004C302D">
        <w:rPr>
          <w:rFonts w:ascii="Times New Roman" w:hAnsi="Times New Roman" w:cs="Times New Roman"/>
          <w:sz w:val="24"/>
          <w:szCs w:val="24"/>
        </w:rPr>
        <w:t>its</w:t>
      </w:r>
      <w:r w:rsidRPr="004C302D">
        <w:rPr>
          <w:rFonts w:ascii="Times New Roman" w:hAnsi="Times New Roman" w:cs="Times New Roman"/>
          <w:sz w:val="24"/>
          <w:szCs w:val="24"/>
        </w:rPr>
        <w:t xml:space="preserve"> operations.</w:t>
      </w:r>
    </w:p>
    <w:p w14:paraId="6D365D95" w14:textId="4469BEA1" w:rsidR="001833FA" w:rsidRPr="004C302D" w:rsidRDefault="00000000" w:rsidP="004C302D">
      <w:pPr>
        <w:spacing w:line="480" w:lineRule="auto"/>
        <w:rPr>
          <w:rFonts w:ascii="Times New Roman" w:hAnsi="Times New Roman" w:cs="Times New Roman"/>
          <w:b/>
          <w:bCs/>
          <w:sz w:val="24"/>
          <w:szCs w:val="24"/>
        </w:rPr>
      </w:pPr>
      <w:r w:rsidRPr="004C302D">
        <w:rPr>
          <w:rFonts w:ascii="Times New Roman" w:hAnsi="Times New Roman" w:cs="Times New Roman"/>
          <w:b/>
          <w:bCs/>
          <w:sz w:val="24"/>
          <w:szCs w:val="24"/>
        </w:rPr>
        <w:t>I. Input</w:t>
      </w:r>
      <w:r w:rsidR="007515A8" w:rsidRPr="004C302D">
        <w:rPr>
          <w:rFonts w:ascii="Times New Roman" w:hAnsi="Times New Roman" w:cs="Times New Roman"/>
          <w:b/>
          <w:bCs/>
          <w:sz w:val="24"/>
          <w:szCs w:val="24"/>
        </w:rPr>
        <w:t xml:space="preserve"> in the Context of the National Urban League</w:t>
      </w:r>
    </w:p>
    <w:p w14:paraId="6A372BDC" w14:textId="0C836C5A" w:rsidR="00093521"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"Input" describes the external influences, materials, and data that an entity, such as the National Urban League, is exposed to. These resources are critical to the organization's survival, growth, and success</w:t>
      </w:r>
      <w:r w:rsidR="001A13CC" w:rsidRPr="001A13CC">
        <w:rPr>
          <w:rFonts w:ascii="Times New Roman" w:hAnsi="Times New Roman" w:cs="Times New Roman"/>
          <w:sz w:val="24"/>
          <w:szCs w:val="24"/>
        </w:rPr>
        <w:t xml:space="preserve"> </w:t>
      </w:r>
      <w:r w:rsidR="001A13CC">
        <w:rPr>
          <w:rFonts w:ascii="Times New Roman" w:hAnsi="Times New Roman" w:cs="Times New Roman"/>
          <w:sz w:val="24"/>
          <w:szCs w:val="24"/>
        </w:rPr>
        <w:t>(</w:t>
      </w:r>
      <w:r w:rsidR="001A13CC" w:rsidRPr="001A13CC">
        <w:rPr>
          <w:rFonts w:ascii="Times New Roman" w:hAnsi="Times New Roman" w:cs="Times New Roman"/>
          <w:sz w:val="24"/>
          <w:szCs w:val="24"/>
        </w:rPr>
        <w:t>Scott</w:t>
      </w:r>
      <w:r w:rsidR="001A13CC">
        <w:rPr>
          <w:rFonts w:ascii="Times New Roman" w:hAnsi="Times New Roman" w:cs="Times New Roman"/>
          <w:sz w:val="24"/>
          <w:szCs w:val="24"/>
        </w:rPr>
        <w:t xml:space="preserve"> </w:t>
      </w:r>
      <w:r w:rsidR="001A13CC" w:rsidRPr="001A13CC">
        <w:rPr>
          <w:rFonts w:ascii="Times New Roman" w:hAnsi="Times New Roman" w:cs="Times New Roman"/>
          <w:sz w:val="24"/>
          <w:szCs w:val="24"/>
        </w:rPr>
        <w:t>&amp; Davis, 2017</w:t>
      </w:r>
      <w:r w:rsidR="001A13CC">
        <w:rPr>
          <w:rFonts w:ascii="Times New Roman" w:hAnsi="Times New Roman" w:cs="Times New Roman"/>
          <w:sz w:val="24"/>
          <w:szCs w:val="24"/>
        </w:rPr>
        <w:t>)</w:t>
      </w:r>
      <w:r w:rsidRPr="004C302D">
        <w:rPr>
          <w:rFonts w:ascii="Times New Roman" w:hAnsi="Times New Roman" w:cs="Times New Roman"/>
          <w:sz w:val="24"/>
          <w:szCs w:val="24"/>
        </w:rPr>
        <w:t>. Understanding the NUL's response, including adaptation to its surroundings, may be gleaned through an analysis of the input viewpoint.</w:t>
      </w:r>
      <w:r w:rsidR="00F764D0">
        <w:rPr>
          <w:rFonts w:ascii="Times New Roman" w:hAnsi="Times New Roman" w:cs="Times New Roman"/>
          <w:sz w:val="24"/>
          <w:szCs w:val="24"/>
        </w:rPr>
        <w:t xml:space="preserve"> As Scott and Davis (2017) stress, no single approach can be employed to all institutions.</w:t>
      </w:r>
    </w:p>
    <w:p w14:paraId="6EE0D539" w14:textId="3347B0B0" w:rsidR="00093521"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Government laws and regulations regarding lockdowns, social distancing, and public health recommendations all poured into the NUL in the wake of the pandemic. These factors compelled the organization to reevaluate its conventional participation strategies and shift its focus to digital mediums to fulfill its mandate. In addition, the epidemic exacerbated preexisting socioeconomic inequities, leading to increased demands for resources, assistance, and information among affected communities</w:t>
      </w:r>
      <w:r w:rsidR="00F41D76" w:rsidRPr="004C302D">
        <w:rPr>
          <w:rFonts w:ascii="Times New Roman" w:hAnsi="Times New Roman" w:cs="Times New Roman"/>
          <w:sz w:val="24"/>
          <w:szCs w:val="24"/>
        </w:rPr>
        <w:t xml:space="preserve"> (Dunk, 2022)</w:t>
      </w:r>
      <w:r w:rsidRPr="004C302D">
        <w:rPr>
          <w:rFonts w:ascii="Times New Roman" w:hAnsi="Times New Roman" w:cs="Times New Roman"/>
          <w:sz w:val="24"/>
          <w:szCs w:val="24"/>
        </w:rPr>
        <w:t>. To better prepare its services and initiatives to deal with new issues like unemployment, access to medical care, and digital exclusion, the NUL had to take in and analyze this information.</w:t>
      </w:r>
      <w:r w:rsidR="00363DB3" w:rsidRPr="004C302D">
        <w:rPr>
          <w:rFonts w:ascii="Times New Roman" w:hAnsi="Times New Roman" w:cs="Times New Roman"/>
          <w:sz w:val="24"/>
          <w:szCs w:val="24"/>
        </w:rPr>
        <w:t xml:space="preserve"> Because of the epidemic, distance participation and communication have become more crucial. The NUL </w:t>
      </w:r>
      <w:r w:rsidR="00BE5EF2" w:rsidRPr="004C302D">
        <w:rPr>
          <w:rFonts w:ascii="Times New Roman" w:hAnsi="Times New Roman" w:cs="Times New Roman"/>
          <w:sz w:val="24"/>
          <w:szCs w:val="24"/>
        </w:rPr>
        <w:t>was forced</w:t>
      </w:r>
      <w:r w:rsidR="00363DB3" w:rsidRPr="004C302D">
        <w:rPr>
          <w:rFonts w:ascii="Times New Roman" w:hAnsi="Times New Roman" w:cs="Times New Roman"/>
          <w:sz w:val="24"/>
          <w:szCs w:val="24"/>
        </w:rPr>
        <w:t xml:space="preserve"> to invest in technological platforms and resources to host online events like webinars and support online community engagement.</w:t>
      </w:r>
    </w:p>
    <w:p w14:paraId="3DE85402" w14:textId="7D01A959" w:rsidR="00BE5EF2"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 xml:space="preserve">On the other hand, the brutal killing of George Floyd sparked an outpouring of public emotion and movement against the unfair treatment of people of color. The increased awareness resulted in feedback being provided to the NUL, which drove increasing community demands for </w:t>
      </w:r>
      <w:r w:rsidRPr="004C302D">
        <w:rPr>
          <w:rFonts w:ascii="Times New Roman" w:hAnsi="Times New Roman" w:cs="Times New Roman"/>
          <w:sz w:val="24"/>
          <w:szCs w:val="24"/>
        </w:rPr>
        <w:lastRenderedPageBreak/>
        <w:t xml:space="preserve">advocacy and policy change linked to racial fairness and police reform. Community members voiced their opinions through grassroots organizing initiatives, public demonstrations, and demands for accountability. The NUL acknowledged and used these inputs </w:t>
      </w:r>
      <w:r w:rsidR="007066C8" w:rsidRPr="004C302D">
        <w:rPr>
          <w:rFonts w:ascii="Times New Roman" w:hAnsi="Times New Roman" w:cs="Times New Roman"/>
          <w:sz w:val="24"/>
          <w:szCs w:val="24"/>
        </w:rPr>
        <w:t>to</w:t>
      </w:r>
      <w:r w:rsidRPr="004C302D">
        <w:rPr>
          <w:rFonts w:ascii="Times New Roman" w:hAnsi="Times New Roman" w:cs="Times New Roman"/>
          <w:sz w:val="24"/>
          <w:szCs w:val="24"/>
        </w:rPr>
        <w:t xml:space="preserve"> organize and provide support for community-led activities, ensuring that they were aligned with the ever-changing requirements of the movement</w:t>
      </w:r>
      <w:r w:rsidR="0060040C">
        <w:rPr>
          <w:rFonts w:ascii="Times New Roman" w:hAnsi="Times New Roman" w:cs="Times New Roman"/>
          <w:sz w:val="24"/>
          <w:szCs w:val="24"/>
        </w:rPr>
        <w:t xml:space="preserve"> </w:t>
      </w:r>
      <w:r w:rsidR="0060040C" w:rsidRPr="0060040C">
        <w:rPr>
          <w:rFonts w:ascii="Times New Roman" w:hAnsi="Times New Roman" w:cs="Times New Roman"/>
          <w:sz w:val="24"/>
          <w:szCs w:val="24"/>
        </w:rPr>
        <w:t>(Scott &amp; Davis, 2017)</w:t>
      </w:r>
      <w:r w:rsidRPr="004C302D">
        <w:rPr>
          <w:rFonts w:ascii="Times New Roman" w:hAnsi="Times New Roman" w:cs="Times New Roman"/>
          <w:sz w:val="24"/>
          <w:szCs w:val="24"/>
        </w:rPr>
        <w:t>.</w:t>
      </w:r>
      <w:r w:rsidR="00CD5F83" w:rsidRPr="004C302D">
        <w:rPr>
          <w:rFonts w:ascii="Times New Roman" w:hAnsi="Times New Roman" w:cs="Times New Roman"/>
          <w:sz w:val="24"/>
          <w:szCs w:val="24"/>
        </w:rPr>
        <w:t xml:space="preserve"> Also, collaborations with various civil rights groups, grassroots movements, and lobbying organizations provided </w:t>
      </w:r>
      <w:r w:rsidR="00A57F85" w:rsidRPr="004C302D">
        <w:rPr>
          <w:rFonts w:ascii="Times New Roman" w:hAnsi="Times New Roman" w:cs="Times New Roman"/>
          <w:sz w:val="24"/>
          <w:szCs w:val="24"/>
        </w:rPr>
        <w:t>NUL</w:t>
      </w:r>
      <w:r w:rsidR="00CD5F83" w:rsidRPr="004C302D">
        <w:rPr>
          <w:rFonts w:ascii="Times New Roman" w:hAnsi="Times New Roman" w:cs="Times New Roman"/>
          <w:sz w:val="24"/>
          <w:szCs w:val="24"/>
        </w:rPr>
        <w:t xml:space="preserve"> with valuable feedback. Through combined advocacy efforts, the association's effect was magnified thanks to the contribution of these partnerships.</w:t>
      </w:r>
    </w:p>
    <w:p w14:paraId="4B12C02E" w14:textId="4C0A387B" w:rsidR="00F3290E"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The NUL showed flexibility by converting information about the epidemic and the aftermath of George Floyd's murder into effective measures and action plans. Inputs such as government rules were repurposed into online participation programs, community needs were used to design individualized assistance plans, and public opinion was channeled into effective campaigns for policy reform.</w:t>
      </w:r>
    </w:p>
    <w:p w14:paraId="220D6089" w14:textId="0E43F4F7" w:rsidR="00141E8D"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The external causes of the epidemic and the repercussions resulting from George Floyd's murder may be better understood if one adopts an input viewpoint. NUL efficiently absorbed information, adjusted to the new circumstances, and implemented changes in line with its goals of promoting civil rights and supporting urban populations.</w:t>
      </w:r>
    </w:p>
    <w:p w14:paraId="08E37CF6" w14:textId="7233D1B7" w:rsidR="007C7549" w:rsidRPr="004C302D" w:rsidRDefault="00000000" w:rsidP="004C302D">
      <w:pPr>
        <w:spacing w:line="480" w:lineRule="auto"/>
        <w:rPr>
          <w:rFonts w:ascii="Times New Roman" w:hAnsi="Times New Roman" w:cs="Times New Roman"/>
          <w:b/>
          <w:bCs/>
          <w:sz w:val="24"/>
          <w:szCs w:val="24"/>
        </w:rPr>
      </w:pPr>
      <w:r w:rsidRPr="004C302D">
        <w:rPr>
          <w:rFonts w:ascii="Times New Roman" w:hAnsi="Times New Roman" w:cs="Times New Roman"/>
          <w:b/>
          <w:bCs/>
          <w:sz w:val="24"/>
          <w:szCs w:val="24"/>
        </w:rPr>
        <w:t>II. Transformation</w:t>
      </w:r>
      <w:r w:rsidR="00933B58" w:rsidRPr="004C302D">
        <w:rPr>
          <w:rFonts w:ascii="Times New Roman" w:hAnsi="Times New Roman" w:cs="Times New Roman"/>
          <w:b/>
          <w:bCs/>
          <w:sz w:val="24"/>
          <w:szCs w:val="24"/>
        </w:rPr>
        <w:t xml:space="preserve"> in the Context of the National Urban League</w:t>
      </w:r>
    </w:p>
    <w:p w14:paraId="4F84D23D" w14:textId="7968C4C2" w:rsidR="00933B58"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w:t>
      </w:r>
      <w:r w:rsidR="00750433">
        <w:rPr>
          <w:rFonts w:ascii="Times New Roman" w:hAnsi="Times New Roman" w:cs="Times New Roman"/>
          <w:sz w:val="24"/>
          <w:szCs w:val="24"/>
        </w:rPr>
        <w:t>T</w:t>
      </w:r>
      <w:r w:rsidRPr="004C302D">
        <w:rPr>
          <w:rFonts w:ascii="Times New Roman" w:hAnsi="Times New Roman" w:cs="Times New Roman"/>
          <w:sz w:val="24"/>
          <w:szCs w:val="24"/>
        </w:rPr>
        <w:t>ransformation" describes an organization's internal procedures to turn its inputs into its final outputs. The NUL's ability to innovate, adapt, and change in response to external challenges is vital to its success.</w:t>
      </w:r>
      <w:r w:rsidR="002A38F1" w:rsidRPr="004C302D">
        <w:rPr>
          <w:rFonts w:ascii="Times New Roman" w:hAnsi="Times New Roman" w:cs="Times New Roman"/>
          <w:sz w:val="24"/>
          <w:szCs w:val="24"/>
        </w:rPr>
        <w:t xml:space="preserve"> The NUL had to adjust its methods of participation since face-to-face contact was restricted because of the epidemic. Town hall meetings, webinars, and online </w:t>
      </w:r>
      <w:r w:rsidR="002A38F1" w:rsidRPr="004C302D">
        <w:rPr>
          <w:rFonts w:ascii="Times New Roman" w:hAnsi="Times New Roman" w:cs="Times New Roman"/>
          <w:sz w:val="24"/>
          <w:szCs w:val="24"/>
        </w:rPr>
        <w:lastRenderedPageBreak/>
        <w:t>seminars have replaced conventional gatherings. NUL could continue its contacts, share its content, and interact with its audience thanks to this revamp. The company transformed its strategy by developing digital material, including tutorials, guides, and videos. These mater game-changing deliverables gave communities crucial knowledge on issues, including public health recommendations, financial aid, and social reinforcement. In addition, to combat the epidemic's effects, the NUL transformed its earlier initiative</w:t>
      </w:r>
      <w:r w:rsidR="005162A2">
        <w:rPr>
          <w:rFonts w:ascii="Times New Roman" w:hAnsi="Times New Roman" w:cs="Times New Roman"/>
          <w:sz w:val="24"/>
          <w:szCs w:val="24"/>
        </w:rPr>
        <w:t>s</w:t>
      </w:r>
      <w:r w:rsidR="002A38F1" w:rsidRPr="004C302D">
        <w:rPr>
          <w:rFonts w:ascii="Times New Roman" w:hAnsi="Times New Roman" w:cs="Times New Roman"/>
          <w:sz w:val="24"/>
          <w:szCs w:val="24"/>
        </w:rPr>
        <w:t xml:space="preserve">. For instance, during economic uncertainty, efforts to provide employment and career education altered their attention to remote work skills. At the same time, housing assistance programs were modified to meet difficulties associated </w:t>
      </w:r>
      <w:r w:rsidR="004A3B2F" w:rsidRPr="004C302D">
        <w:rPr>
          <w:rFonts w:ascii="Times New Roman" w:hAnsi="Times New Roman" w:cs="Times New Roman"/>
          <w:sz w:val="24"/>
          <w:szCs w:val="24"/>
        </w:rPr>
        <w:t>with</w:t>
      </w:r>
      <w:r w:rsidR="002A38F1" w:rsidRPr="004C302D">
        <w:rPr>
          <w:rFonts w:ascii="Times New Roman" w:hAnsi="Times New Roman" w:cs="Times New Roman"/>
          <w:sz w:val="24"/>
          <w:szCs w:val="24"/>
        </w:rPr>
        <w:t xml:space="preserve"> home stability.</w:t>
      </w:r>
    </w:p>
    <w:p w14:paraId="629DC68E" w14:textId="03D77EFE" w:rsidR="004A3B2F"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After George Floyd was murdered, the NUL shifted its lobbying efforts to meet the growing need for racial justice and reform in law enforcement. The group transformed its lobbying techniques, coordinating with local allies and using its influence to promote dialogue and policy shifts on structural racism and criminal justice reform. NUL also revised its community development programs reflecting on the killing of George Floyd. These changes included more resources for those with mental health issues, trauma-informed treatment programs, and welcoming gathering places where people could talk about their experiences</w:t>
      </w:r>
      <w:r w:rsidR="00287AE9" w:rsidRPr="004C302D">
        <w:rPr>
          <w:rFonts w:ascii="Times New Roman" w:hAnsi="Times New Roman" w:cs="Times New Roman"/>
          <w:sz w:val="24"/>
          <w:szCs w:val="24"/>
        </w:rPr>
        <w:t xml:space="preserve"> (Marín-González et al., 2022)</w:t>
      </w:r>
      <w:r w:rsidRPr="004C302D">
        <w:rPr>
          <w:rFonts w:ascii="Times New Roman" w:hAnsi="Times New Roman" w:cs="Times New Roman"/>
          <w:sz w:val="24"/>
          <w:szCs w:val="24"/>
        </w:rPr>
        <w:t>. Through participation in policy conversations and legislative endeavors, the organization was able to translate inputs from public opinion and social movements into outcomes. The NUL was able to translate its rhetorical clout into real-world actions and policy shifts by actively engaging in policy discussions and campaigning for reform.</w:t>
      </w:r>
    </w:p>
    <w:p w14:paraId="327D9E87" w14:textId="215B59D5" w:rsidR="001623CA"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The NUL's reforms in both instances were strategic shifts made with long-term sustainability in mind rather than just tactical adjustments. In this case, the institution understood the need to adapt its strategies to the changing circumstances to maintain its viability.</w:t>
      </w:r>
    </w:p>
    <w:p w14:paraId="0F055C40" w14:textId="35EF0B65" w:rsidR="00735445"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lastRenderedPageBreak/>
        <w:t>The National Urban League overcame the epidemic and the fallout from George Floyd's murder by embracing transformation. As many agree, the organization's dedication to expanding civil rights, fostering economic development, and fighting for social justice is shown by its flexibility, creativity, and capacity to turn inputs into tangible outcomes.</w:t>
      </w:r>
    </w:p>
    <w:p w14:paraId="008DCF90" w14:textId="48D9A4D7" w:rsidR="00362016" w:rsidRPr="004C302D" w:rsidRDefault="00000000" w:rsidP="004C302D">
      <w:pPr>
        <w:spacing w:line="480" w:lineRule="auto"/>
        <w:rPr>
          <w:rFonts w:ascii="Times New Roman" w:hAnsi="Times New Roman" w:cs="Times New Roman"/>
          <w:b/>
          <w:bCs/>
          <w:sz w:val="24"/>
          <w:szCs w:val="24"/>
        </w:rPr>
      </w:pPr>
      <w:r w:rsidRPr="004C302D">
        <w:rPr>
          <w:rFonts w:ascii="Times New Roman" w:hAnsi="Times New Roman" w:cs="Times New Roman"/>
          <w:b/>
          <w:bCs/>
          <w:sz w:val="24"/>
          <w:szCs w:val="24"/>
        </w:rPr>
        <w:t>III. Output</w:t>
      </w:r>
      <w:r w:rsidR="00252B27" w:rsidRPr="004C302D">
        <w:rPr>
          <w:rFonts w:ascii="Times New Roman" w:hAnsi="Times New Roman" w:cs="Times New Roman"/>
          <w:b/>
          <w:bCs/>
          <w:sz w:val="24"/>
          <w:szCs w:val="24"/>
        </w:rPr>
        <w:t xml:space="preserve"> in the Context of the National Urban League</w:t>
      </w:r>
    </w:p>
    <w:p w14:paraId="67DE08A7" w14:textId="70162746" w:rsidR="00252B27"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 xml:space="preserve">When discussing the transformational processes of an organization, "output" refers to the concrete and intangible outcomes and effects that are produced. Understanding the results of the NUL's efforts </w:t>
      </w:r>
      <w:r w:rsidR="00E83407" w:rsidRPr="004C302D">
        <w:rPr>
          <w:rFonts w:ascii="Times New Roman" w:hAnsi="Times New Roman" w:cs="Times New Roman"/>
          <w:sz w:val="24"/>
          <w:szCs w:val="24"/>
        </w:rPr>
        <w:t>considering</w:t>
      </w:r>
      <w:r w:rsidRPr="004C302D">
        <w:rPr>
          <w:rFonts w:ascii="Times New Roman" w:hAnsi="Times New Roman" w:cs="Times New Roman"/>
          <w:sz w:val="24"/>
          <w:szCs w:val="24"/>
        </w:rPr>
        <w:t xml:space="preserve"> the shifting dynamics, requires </w:t>
      </w:r>
      <w:r w:rsidR="00E83407" w:rsidRPr="004C302D">
        <w:rPr>
          <w:rFonts w:ascii="Times New Roman" w:hAnsi="Times New Roman" w:cs="Times New Roman"/>
          <w:sz w:val="24"/>
          <w:szCs w:val="24"/>
        </w:rPr>
        <w:t>looking</w:t>
      </w:r>
      <w:r w:rsidRPr="004C302D">
        <w:rPr>
          <w:rFonts w:ascii="Times New Roman" w:hAnsi="Times New Roman" w:cs="Times New Roman"/>
          <w:sz w:val="24"/>
          <w:szCs w:val="24"/>
        </w:rPr>
        <w:t xml:space="preserve"> at things from the output viewpoint.</w:t>
      </w:r>
      <w:r w:rsidR="00357904" w:rsidRPr="004C302D">
        <w:rPr>
          <w:rFonts w:ascii="Times New Roman" w:hAnsi="Times New Roman" w:cs="Times New Roman"/>
          <w:sz w:val="24"/>
          <w:szCs w:val="24"/>
        </w:rPr>
        <w:t xml:space="preserve"> </w:t>
      </w:r>
      <w:r w:rsidR="00E83407" w:rsidRPr="004C302D">
        <w:rPr>
          <w:rFonts w:ascii="Times New Roman" w:hAnsi="Times New Roman" w:cs="Times New Roman"/>
          <w:sz w:val="24"/>
          <w:szCs w:val="24"/>
        </w:rPr>
        <w:t>New results emerged when the NUL shifted its focus from live activities to online interactions. More people were</w:t>
      </w:r>
      <w:r w:rsidR="003E5B4E">
        <w:rPr>
          <w:rFonts w:ascii="Times New Roman" w:hAnsi="Times New Roman" w:cs="Times New Roman"/>
          <w:sz w:val="24"/>
          <w:szCs w:val="24"/>
        </w:rPr>
        <w:t xml:space="preserve"> invo</w:t>
      </w:r>
      <w:r w:rsidR="00E83407" w:rsidRPr="004C302D">
        <w:rPr>
          <w:rFonts w:ascii="Times New Roman" w:hAnsi="Times New Roman" w:cs="Times New Roman"/>
          <w:sz w:val="24"/>
          <w:szCs w:val="24"/>
        </w:rPr>
        <w:t xml:space="preserve">lved since they could participate online, the event's geographic reach was expanded, and those who otherwise could not attend were </w:t>
      </w:r>
      <w:r w:rsidR="003E5B4E">
        <w:rPr>
          <w:rFonts w:ascii="Times New Roman" w:hAnsi="Times New Roman" w:cs="Times New Roman"/>
          <w:sz w:val="24"/>
          <w:szCs w:val="24"/>
        </w:rPr>
        <w:t>considered</w:t>
      </w:r>
      <w:r w:rsidR="00E83407" w:rsidRPr="004C302D">
        <w:rPr>
          <w:rFonts w:ascii="Times New Roman" w:hAnsi="Times New Roman" w:cs="Times New Roman"/>
          <w:sz w:val="24"/>
          <w:szCs w:val="24"/>
        </w:rPr>
        <w:t xml:space="preserve"> in other ways. The NUL could keep building relationships and sharing knowledge throughout the epidemic because of its virtual interactions</w:t>
      </w:r>
      <w:r w:rsidR="00A71F69" w:rsidRPr="004C302D">
        <w:rPr>
          <w:rFonts w:ascii="Times New Roman" w:hAnsi="Times New Roman" w:cs="Times New Roman"/>
          <w:sz w:val="24"/>
          <w:szCs w:val="24"/>
        </w:rPr>
        <w:t xml:space="preserve"> (Briggs, 2021)</w:t>
      </w:r>
      <w:r w:rsidR="00E83407" w:rsidRPr="004C302D">
        <w:rPr>
          <w:rFonts w:ascii="Times New Roman" w:hAnsi="Times New Roman" w:cs="Times New Roman"/>
          <w:sz w:val="24"/>
          <w:szCs w:val="24"/>
        </w:rPr>
        <w:t>. In addition, the NUL's output includes digital inclusion efforts designed to close the technological gap in response to the digital divide shown by the epidemic. These efforts directly resulted in programs to enhance access to technology, workshops to teach digital skills, and more technological literacy in impoverished areas. The NUL's attempts to adapt have strengthened urban communities so that they can better withstand the effects of a pandemic and take control of their destiny in the face of adversity. The organization's capacity to offer functional materials and help boost community resilience in the face of the pandemic's difficulties.</w:t>
      </w:r>
    </w:p>
    <w:p w14:paraId="34F2B9A5" w14:textId="5920A607" w:rsidR="00E83407"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 xml:space="preserve">The influence on policy and law was a significant outcome of the NUL's reaction to the death of George Floyd. Policy improvements in police accountability, the criminal justice system, and racial fairness are only some of the results of the organization's lobbying activities </w:t>
      </w:r>
      <w:r w:rsidRPr="004C302D">
        <w:rPr>
          <w:rFonts w:ascii="Times New Roman" w:hAnsi="Times New Roman" w:cs="Times New Roman"/>
          <w:sz w:val="24"/>
          <w:szCs w:val="24"/>
        </w:rPr>
        <w:lastRenderedPageBreak/>
        <w:t>and interaction with politicians. Increased community cohesiveness and togetherness were a result of the NUL's efforts to mobilize communities and facilitate dialogues</w:t>
      </w:r>
      <w:r w:rsidR="009B3808" w:rsidRPr="004C302D">
        <w:rPr>
          <w:rFonts w:ascii="Times New Roman" w:hAnsi="Times New Roman" w:cs="Times New Roman"/>
          <w:sz w:val="24"/>
          <w:szCs w:val="24"/>
        </w:rPr>
        <w:t xml:space="preserve"> (Briggs, 2021)</w:t>
      </w:r>
      <w:r w:rsidRPr="004C302D">
        <w:rPr>
          <w:rFonts w:ascii="Times New Roman" w:hAnsi="Times New Roman" w:cs="Times New Roman"/>
          <w:sz w:val="24"/>
          <w:szCs w:val="24"/>
        </w:rPr>
        <w:t xml:space="preserve">. Such was seen in the powerful marches and rallies resulting from the community's calls for justice and change advocacy. The NUL's efforts helped produce programs that helped victims of racism and the surrounding communities. </w:t>
      </w:r>
      <w:r w:rsidR="00520528">
        <w:rPr>
          <w:rFonts w:ascii="Times New Roman" w:hAnsi="Times New Roman" w:cs="Times New Roman"/>
          <w:sz w:val="24"/>
          <w:szCs w:val="24"/>
        </w:rPr>
        <w:t>The emotional</w:t>
      </w:r>
      <w:r w:rsidRPr="004C302D">
        <w:rPr>
          <w:rFonts w:ascii="Times New Roman" w:hAnsi="Times New Roman" w:cs="Times New Roman"/>
          <w:sz w:val="24"/>
          <w:szCs w:val="24"/>
        </w:rPr>
        <w:t xml:space="preserve"> toll of racial injustice was addressed through these outcomes, which included mental health assets, trauma-informed programs, and community healing activities.</w:t>
      </w:r>
    </w:p>
    <w:p w14:paraId="70F77C73" w14:textId="30C72FD4" w:rsidR="004269E6"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In the wake of the global pandemic and George Floyd's death, the NUL was compelled to devise new metrics and assessment methodologies to assess the efficacy of its outputs. In this case, it is possible that the new environment rendered traditional metrics irrelevant, prompting the development of cutting-edge approaches to measuring the breadth, depth, and intensity of virtual activities and advocacy campaigns.</w:t>
      </w:r>
    </w:p>
    <w:p w14:paraId="678AD3B9" w14:textId="3AE80A18" w:rsidR="001B7BDC"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The idea of output sheds light on the concrete and nebulous results brought about by the National Urban League's actions in response to the dynamics of the epidemic and the effect of George Floyd's death. These results demonstrate the organization's capacity to bring about transformation, propel substantial influence, and aid in promoting civil rights and social justice, including financial empowerment.</w:t>
      </w:r>
    </w:p>
    <w:p w14:paraId="656BB133" w14:textId="22971228" w:rsidR="00C63E35" w:rsidRPr="004C302D" w:rsidRDefault="00000000" w:rsidP="004C302D">
      <w:pPr>
        <w:spacing w:line="480" w:lineRule="auto"/>
        <w:jc w:val="center"/>
        <w:rPr>
          <w:rFonts w:ascii="Times New Roman" w:hAnsi="Times New Roman" w:cs="Times New Roman"/>
          <w:b/>
          <w:bCs/>
          <w:sz w:val="24"/>
          <w:szCs w:val="24"/>
        </w:rPr>
      </w:pPr>
      <w:r w:rsidRPr="004C302D">
        <w:rPr>
          <w:rFonts w:ascii="Times New Roman" w:hAnsi="Times New Roman" w:cs="Times New Roman"/>
          <w:b/>
          <w:bCs/>
          <w:sz w:val="24"/>
          <w:szCs w:val="24"/>
        </w:rPr>
        <w:t>Personal Perspective and Solutions</w:t>
      </w:r>
    </w:p>
    <w:p w14:paraId="049F026E" w14:textId="5ADC0B48" w:rsidR="00A80AD7"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The NUL may take several approaches to resolving the issues raised and advancing the organization's development.</w:t>
      </w:r>
      <w:r w:rsidR="00262C9C" w:rsidRPr="004C302D">
        <w:rPr>
          <w:rFonts w:ascii="Times New Roman" w:hAnsi="Times New Roman" w:cs="Times New Roman"/>
          <w:sz w:val="24"/>
          <w:szCs w:val="24"/>
        </w:rPr>
        <w:t xml:space="preserve"> One excellent strategy is the digital inclusion initiative.</w:t>
      </w:r>
      <w:r w:rsidR="004974AD" w:rsidRPr="004C302D">
        <w:rPr>
          <w:rFonts w:ascii="Times New Roman" w:hAnsi="Times New Roman" w:cs="Times New Roman"/>
          <w:sz w:val="24"/>
          <w:szCs w:val="24"/>
        </w:rPr>
        <w:t xml:space="preserve"> </w:t>
      </w:r>
      <w:r w:rsidR="00FA481E" w:rsidRPr="004C302D">
        <w:rPr>
          <w:rFonts w:ascii="Times New Roman" w:hAnsi="Times New Roman" w:cs="Times New Roman"/>
          <w:sz w:val="24"/>
          <w:szCs w:val="24"/>
        </w:rPr>
        <w:t xml:space="preserve">The NUL is positioned to achieve revolutionary change through a comprehensive Digital Inclusion Initiative in the face of growing obstacles spurred by the global pandemic dynamics and the ensuing </w:t>
      </w:r>
      <w:r w:rsidR="00FA481E" w:rsidRPr="004C302D">
        <w:rPr>
          <w:rFonts w:ascii="Times New Roman" w:hAnsi="Times New Roman" w:cs="Times New Roman"/>
          <w:sz w:val="24"/>
          <w:szCs w:val="24"/>
        </w:rPr>
        <w:lastRenderedPageBreak/>
        <w:t>events of George Floyd's murder. Such a methodical strategy efficiently closes the gap in digital inclusion by bringing underserved urban populations up to speed regarding technological knowledge, online participation, and access to the Internet</w:t>
      </w:r>
      <w:r w:rsidR="007D758F" w:rsidRPr="004C302D">
        <w:rPr>
          <w:rFonts w:ascii="Times New Roman" w:hAnsi="Times New Roman" w:cs="Times New Roman"/>
          <w:sz w:val="24"/>
          <w:szCs w:val="24"/>
        </w:rPr>
        <w:t xml:space="preserve"> (Goggin et al., 2019)</w:t>
      </w:r>
      <w:r w:rsidR="00FA481E" w:rsidRPr="004C302D">
        <w:rPr>
          <w:rFonts w:ascii="Times New Roman" w:hAnsi="Times New Roman" w:cs="Times New Roman"/>
          <w:sz w:val="24"/>
          <w:szCs w:val="24"/>
        </w:rPr>
        <w:t>.</w:t>
      </w:r>
      <w:r w:rsidRPr="004C302D">
        <w:rPr>
          <w:rFonts w:ascii="Times New Roman" w:hAnsi="Times New Roman" w:cs="Times New Roman"/>
          <w:sz w:val="24"/>
          <w:szCs w:val="24"/>
        </w:rPr>
        <w:t xml:space="preserve"> Digital Inclusion Initiative is a comprehensive program that promotes civil liberties, economic independence, and social fairness. In this case, constructing community hubs that provide free and low-cost access to technology is an important part. People will be able to take participate</w:t>
      </w:r>
      <w:r w:rsidR="00D54713">
        <w:rPr>
          <w:rFonts w:ascii="Times New Roman" w:hAnsi="Times New Roman" w:cs="Times New Roman"/>
          <w:sz w:val="24"/>
          <w:szCs w:val="24"/>
        </w:rPr>
        <w:t xml:space="preserve"> in</w:t>
      </w:r>
      <w:r w:rsidRPr="004C302D">
        <w:rPr>
          <w:rFonts w:ascii="Times New Roman" w:hAnsi="Times New Roman" w:cs="Times New Roman"/>
          <w:sz w:val="24"/>
          <w:szCs w:val="24"/>
        </w:rPr>
        <w:t xml:space="preserve"> gatherings, seminars, and courses without havin</w:t>
      </w:r>
      <w:r w:rsidR="00D54713">
        <w:rPr>
          <w:rFonts w:ascii="Times New Roman" w:hAnsi="Times New Roman" w:cs="Times New Roman"/>
          <w:sz w:val="24"/>
          <w:szCs w:val="24"/>
        </w:rPr>
        <w:t xml:space="preserve">g to </w:t>
      </w:r>
      <w:r w:rsidRPr="004C302D">
        <w:rPr>
          <w:rFonts w:ascii="Times New Roman" w:hAnsi="Times New Roman" w:cs="Times New Roman"/>
          <w:sz w:val="24"/>
          <w:szCs w:val="24"/>
        </w:rPr>
        <w:t>worry</w:t>
      </w:r>
      <w:r w:rsidR="00D54713">
        <w:rPr>
          <w:rFonts w:ascii="Times New Roman" w:hAnsi="Times New Roman" w:cs="Times New Roman"/>
          <w:sz w:val="24"/>
          <w:szCs w:val="24"/>
        </w:rPr>
        <w:t xml:space="preserve"> about</w:t>
      </w:r>
      <w:r w:rsidRPr="004C302D">
        <w:rPr>
          <w:rFonts w:ascii="Times New Roman" w:hAnsi="Times New Roman" w:cs="Times New Roman"/>
          <w:sz w:val="24"/>
          <w:szCs w:val="24"/>
        </w:rPr>
        <w:t xml:space="preserve"> the cost of such materials since they will be available at these centers.</w:t>
      </w:r>
    </w:p>
    <w:p w14:paraId="0A94168E" w14:textId="109B8E06" w:rsidR="00AF3C53"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 xml:space="preserve">The National Urban League's Internet Inclusion Initiative indicates the group's dedication to systemic change in a world where internet access is more essential. NUL </w:t>
      </w:r>
      <w:r w:rsidR="007F3455" w:rsidRPr="004C302D">
        <w:rPr>
          <w:rFonts w:ascii="Times New Roman" w:hAnsi="Times New Roman" w:cs="Times New Roman"/>
          <w:sz w:val="24"/>
          <w:szCs w:val="24"/>
        </w:rPr>
        <w:t>can</w:t>
      </w:r>
      <w:r w:rsidRPr="004C302D">
        <w:rPr>
          <w:rFonts w:ascii="Times New Roman" w:hAnsi="Times New Roman" w:cs="Times New Roman"/>
          <w:sz w:val="24"/>
          <w:szCs w:val="24"/>
        </w:rPr>
        <w:t xml:space="preserve"> better respond to present issues and build a foundation for future empowerment, social resilience, and equality by closing the digital gap. By supporting this project, the NUL maintains its role as a leading voice in fighting for equal rights, economic growth, and social equity in the nation's cities.</w:t>
      </w:r>
    </w:p>
    <w:p w14:paraId="30146DBD" w14:textId="6A5BD743" w:rsidR="008C0A88"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One other strategy worth considering is community-centered advocacy. The NUL has taken a big step forward by adopting a community-centered lobbying strategy in the aftermath of pandemic dynamics and the tragic effect of the murder of George Floyd. Such a new approach not o</w:t>
      </w:r>
      <w:r w:rsidR="00573E8C">
        <w:rPr>
          <w:rFonts w:ascii="Times New Roman" w:hAnsi="Times New Roman" w:cs="Times New Roman"/>
          <w:sz w:val="24"/>
          <w:szCs w:val="24"/>
        </w:rPr>
        <w:t>nly allows for</w:t>
      </w:r>
      <w:r w:rsidRPr="004C302D">
        <w:rPr>
          <w:rFonts w:ascii="Times New Roman" w:hAnsi="Times New Roman" w:cs="Times New Roman"/>
          <w:sz w:val="24"/>
          <w:szCs w:val="24"/>
        </w:rPr>
        <w:t xml:space="preserve"> the organization's dedication to civil rights and social justice but draws on local communities' power and perseverance </w:t>
      </w:r>
      <w:r w:rsidR="00600F2E">
        <w:rPr>
          <w:rFonts w:ascii="Times New Roman" w:hAnsi="Times New Roman" w:cs="Times New Roman"/>
          <w:sz w:val="24"/>
          <w:szCs w:val="24"/>
        </w:rPr>
        <w:t>in bringing</w:t>
      </w:r>
      <w:r w:rsidRPr="004C302D">
        <w:rPr>
          <w:rFonts w:ascii="Times New Roman" w:hAnsi="Times New Roman" w:cs="Times New Roman"/>
          <w:sz w:val="24"/>
          <w:szCs w:val="24"/>
        </w:rPr>
        <w:t xml:space="preserve"> about lasting change</w:t>
      </w:r>
      <w:r w:rsidR="006F4782">
        <w:rPr>
          <w:rFonts w:ascii="Times New Roman" w:hAnsi="Times New Roman" w:cs="Times New Roman"/>
          <w:sz w:val="24"/>
          <w:szCs w:val="24"/>
        </w:rPr>
        <w:t xml:space="preserve"> </w:t>
      </w:r>
      <w:r w:rsidR="006F4782" w:rsidRPr="006F4782">
        <w:rPr>
          <w:rFonts w:ascii="Times New Roman" w:hAnsi="Times New Roman" w:cs="Times New Roman"/>
          <w:sz w:val="24"/>
          <w:szCs w:val="24"/>
        </w:rPr>
        <w:t>(Scott &amp; Davis, 2017)</w:t>
      </w:r>
      <w:r w:rsidRPr="004C302D">
        <w:rPr>
          <w:rFonts w:ascii="Times New Roman" w:hAnsi="Times New Roman" w:cs="Times New Roman"/>
          <w:sz w:val="24"/>
          <w:szCs w:val="24"/>
        </w:rPr>
        <w:t xml:space="preserve">. Such a strategy aims to see communities not as recipients of lobbying but as active agents of change. Also, the NUL's new mission statement emphasizes the need to amplify community voices and support grassroots efforts in the struggle for racial justice and in the face of the pandemic's specific difficulties. Many scholars agree that NUL can better effect change at the </w:t>
      </w:r>
      <w:r w:rsidRPr="004C302D">
        <w:rPr>
          <w:rFonts w:ascii="Times New Roman" w:hAnsi="Times New Roman" w:cs="Times New Roman"/>
          <w:sz w:val="24"/>
          <w:szCs w:val="24"/>
        </w:rPr>
        <w:lastRenderedPageBreak/>
        <w:t>grassroots level, where it typically has the most influence, by forming local chapters or affiliates that partner with existing grassroots groups.</w:t>
      </w:r>
    </w:p>
    <w:p w14:paraId="624D8FE1" w14:textId="0BEB81F5" w:rsidR="00550C66"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The NUL's reaction will be nuanced, contextually appropriate, and culturally sensitive, thanks to community-centered lobbying. Such a method recognizes that various communities may have varying difficulties that call for specialized responses. The NUL can better advocate for its causes and design more specific initiatives by working with local groups with strong roots in their areas</w:t>
      </w:r>
      <w:r w:rsidR="001E44E0">
        <w:rPr>
          <w:rFonts w:ascii="Times New Roman" w:hAnsi="Times New Roman" w:cs="Times New Roman"/>
          <w:sz w:val="24"/>
          <w:szCs w:val="24"/>
        </w:rPr>
        <w:t xml:space="preserve"> </w:t>
      </w:r>
      <w:r w:rsidR="001E44E0" w:rsidRPr="001E44E0">
        <w:rPr>
          <w:rFonts w:ascii="Times New Roman" w:hAnsi="Times New Roman" w:cs="Times New Roman"/>
          <w:sz w:val="24"/>
          <w:szCs w:val="24"/>
        </w:rPr>
        <w:t>(Scott &amp; Davis, 2017)</w:t>
      </w:r>
      <w:r w:rsidRPr="004C302D">
        <w:rPr>
          <w:rFonts w:ascii="Times New Roman" w:hAnsi="Times New Roman" w:cs="Times New Roman"/>
          <w:sz w:val="24"/>
          <w:szCs w:val="24"/>
        </w:rPr>
        <w:t>. Community-centered lobbying develops as a dynamic and powerful technique as the NUL negotiates the complexity of the present social scene. According to various studies, the organization responds to current issues while remembering the achievements of the civil rights struggle. The NUL successfully reacts to the pandemic and systematic racism by empowering communities to drive their transformation, but it also triggers a future where citizens are at the forefront of enduring change.</w:t>
      </w:r>
    </w:p>
    <w:p w14:paraId="3CF882FC" w14:textId="7616D3B9" w:rsidR="002A3146"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 xml:space="preserve">Strategic partnerships </w:t>
      </w:r>
      <w:r w:rsidR="00090883" w:rsidRPr="004C302D">
        <w:rPr>
          <w:rFonts w:ascii="Times New Roman" w:hAnsi="Times New Roman" w:cs="Times New Roman"/>
          <w:sz w:val="24"/>
          <w:szCs w:val="24"/>
        </w:rPr>
        <w:t>happen</w:t>
      </w:r>
      <w:r w:rsidRPr="004C302D">
        <w:rPr>
          <w:rFonts w:ascii="Times New Roman" w:hAnsi="Times New Roman" w:cs="Times New Roman"/>
          <w:sz w:val="24"/>
          <w:szCs w:val="24"/>
        </w:rPr>
        <w:t xml:space="preserve"> to be yet another strategy. </w:t>
      </w:r>
      <w:r w:rsidR="00090883" w:rsidRPr="004C302D">
        <w:rPr>
          <w:rFonts w:ascii="Times New Roman" w:hAnsi="Times New Roman" w:cs="Times New Roman"/>
          <w:sz w:val="24"/>
          <w:szCs w:val="24"/>
        </w:rPr>
        <w:t>The NUL is responding to the extraordinary threats presented by the dynamics of the pandemic and the ensuing events of George Floyd's murder by adopting strategic alliances</w:t>
      </w:r>
      <w:r w:rsidR="00CB6BB9" w:rsidRPr="004C302D">
        <w:rPr>
          <w:rFonts w:ascii="Times New Roman" w:hAnsi="Times New Roman" w:cs="Times New Roman"/>
          <w:sz w:val="24"/>
          <w:szCs w:val="24"/>
        </w:rPr>
        <w:t xml:space="preserve"> (Bustinza et al., 2019)</w:t>
      </w:r>
      <w:r w:rsidR="00090883" w:rsidRPr="004C302D">
        <w:rPr>
          <w:rFonts w:ascii="Times New Roman" w:hAnsi="Times New Roman" w:cs="Times New Roman"/>
          <w:sz w:val="24"/>
          <w:szCs w:val="24"/>
        </w:rPr>
        <w:t>. The NUL understands the need to work with others to effect systemic change and further its goals; hence it actively seeks out partnerships with other groups.</w:t>
      </w:r>
    </w:p>
    <w:p w14:paraId="5B3C558F" w14:textId="59C1AA48" w:rsidR="00090883"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 xml:space="preserve">The NUL can do more with its efforts and reach more people thanks to strategic collaborations. </w:t>
      </w:r>
      <w:r w:rsidR="00860D22">
        <w:rPr>
          <w:rFonts w:ascii="Times New Roman" w:hAnsi="Times New Roman" w:cs="Times New Roman"/>
          <w:sz w:val="24"/>
          <w:szCs w:val="24"/>
        </w:rPr>
        <w:t xml:space="preserve">Advocates of </w:t>
      </w:r>
      <w:r w:rsidRPr="004C302D">
        <w:rPr>
          <w:rFonts w:ascii="Times New Roman" w:hAnsi="Times New Roman" w:cs="Times New Roman"/>
          <w:sz w:val="24"/>
          <w:szCs w:val="24"/>
        </w:rPr>
        <w:t xml:space="preserve">NUL </w:t>
      </w:r>
      <w:r w:rsidR="00860D22">
        <w:rPr>
          <w:rFonts w:ascii="Times New Roman" w:hAnsi="Times New Roman" w:cs="Times New Roman"/>
          <w:sz w:val="24"/>
          <w:szCs w:val="24"/>
        </w:rPr>
        <w:t xml:space="preserve">agree that the organization </w:t>
      </w:r>
      <w:r w:rsidRPr="004C302D">
        <w:rPr>
          <w:rFonts w:ascii="Times New Roman" w:hAnsi="Times New Roman" w:cs="Times New Roman"/>
          <w:sz w:val="24"/>
          <w:szCs w:val="24"/>
        </w:rPr>
        <w:t>draws upon the combined strengths of several civil rights groups, grassroots movements, advocacy organizations, and educational institutions. A</w:t>
      </w:r>
      <w:r w:rsidR="00A900D7">
        <w:rPr>
          <w:rFonts w:ascii="Times New Roman" w:hAnsi="Times New Roman" w:cs="Times New Roman"/>
          <w:sz w:val="24"/>
          <w:szCs w:val="24"/>
        </w:rPr>
        <w:t>dditionally</w:t>
      </w:r>
      <w:r w:rsidRPr="004C302D">
        <w:rPr>
          <w:rFonts w:ascii="Times New Roman" w:hAnsi="Times New Roman" w:cs="Times New Roman"/>
          <w:sz w:val="24"/>
          <w:szCs w:val="24"/>
        </w:rPr>
        <w:t xml:space="preserve">, the NUL can speak with one unified voice in support of legislative changes, social justice measures, and economic empowerment thanks to the support of these alliances. More broadly, excellent practices, novel ideas, and practical techniques may be shared </w:t>
      </w:r>
      <w:r w:rsidRPr="004C302D">
        <w:rPr>
          <w:rFonts w:ascii="Times New Roman" w:hAnsi="Times New Roman" w:cs="Times New Roman"/>
          <w:sz w:val="24"/>
          <w:szCs w:val="24"/>
        </w:rPr>
        <w:lastRenderedPageBreak/>
        <w:t>through these partnerships. By working with organizations, the NUL can gather new insights and ideas that it may then pirate into its efforts. The NUL's capacity to tackle the intricate problems of the present environment is bolstered by this cross-pollination of ideas, which also encourages internal growth and development.</w:t>
      </w:r>
    </w:p>
    <w:p w14:paraId="198CF058" w14:textId="5C33215E" w:rsidR="00F10235"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By forming key alliances, the NUL displays its flexibility and will to adapt to new circumstances. These alliances represent a dedication to collective impact, in which groups use their strengths to create systemic change. Strategic collaborations emerge as a ray of light for the NUL as it navigates the difficult contemporary civil rights environment, bringing together disparate groups for the common cause of securing a more fair, equitable, and empowering future.</w:t>
      </w:r>
    </w:p>
    <w:p w14:paraId="1B7C433F" w14:textId="15B94FF3" w:rsidR="005E45C4" w:rsidRPr="004C302D" w:rsidRDefault="00000000" w:rsidP="004C302D">
      <w:pPr>
        <w:spacing w:line="480" w:lineRule="auto"/>
        <w:jc w:val="center"/>
        <w:rPr>
          <w:rFonts w:ascii="Times New Roman" w:hAnsi="Times New Roman" w:cs="Times New Roman"/>
          <w:b/>
          <w:bCs/>
          <w:sz w:val="24"/>
          <w:szCs w:val="24"/>
        </w:rPr>
      </w:pPr>
      <w:r w:rsidRPr="004C302D">
        <w:rPr>
          <w:rFonts w:ascii="Times New Roman" w:hAnsi="Times New Roman" w:cs="Times New Roman"/>
          <w:b/>
          <w:bCs/>
          <w:sz w:val="24"/>
          <w:szCs w:val="24"/>
        </w:rPr>
        <w:t>Conclusion</w:t>
      </w:r>
    </w:p>
    <w:p w14:paraId="1823AB21" w14:textId="07E70E10" w:rsidR="00EA139B" w:rsidRPr="004C302D" w:rsidRDefault="00000000" w:rsidP="004C302D">
      <w:pPr>
        <w:spacing w:line="480" w:lineRule="auto"/>
        <w:ind w:firstLine="720"/>
        <w:rPr>
          <w:rFonts w:ascii="Times New Roman" w:hAnsi="Times New Roman" w:cs="Times New Roman"/>
          <w:sz w:val="24"/>
          <w:szCs w:val="24"/>
        </w:rPr>
      </w:pPr>
      <w:r w:rsidRPr="004C302D">
        <w:rPr>
          <w:rFonts w:ascii="Times New Roman" w:hAnsi="Times New Roman" w:cs="Times New Roman"/>
          <w:sz w:val="24"/>
          <w:szCs w:val="24"/>
        </w:rPr>
        <w:t>The National Urban League's capacity to quickly react to new circumstances, such as the COVID-19 epidemic and the brutal murder of George Floyd, is an example of the organization's open system's flexibility and resilience. When applied to the NUL, the open system theory sheds insight into the institution's inputs, outputs, and interactions with its surroundings. The NUL can adapt to changing circumstances and stay true to its goal by emphasizing the importance of digital inclusion, community-centered activism, and strategic collaborations. As the NUL grows and changes, it helps further the movement to eliminate structural injustice and advance social equality.</w:t>
      </w:r>
    </w:p>
    <w:p w14:paraId="46133D00" w14:textId="77777777" w:rsidR="00EA139B" w:rsidRPr="004C302D" w:rsidRDefault="00000000" w:rsidP="004C302D">
      <w:pPr>
        <w:spacing w:line="480" w:lineRule="auto"/>
        <w:rPr>
          <w:rFonts w:ascii="Times New Roman" w:hAnsi="Times New Roman" w:cs="Times New Roman"/>
          <w:sz w:val="24"/>
          <w:szCs w:val="24"/>
        </w:rPr>
      </w:pPr>
      <w:r w:rsidRPr="004C302D">
        <w:rPr>
          <w:rFonts w:ascii="Times New Roman" w:hAnsi="Times New Roman" w:cs="Times New Roman"/>
          <w:sz w:val="24"/>
          <w:szCs w:val="24"/>
        </w:rPr>
        <w:br w:type="page"/>
      </w:r>
    </w:p>
    <w:p w14:paraId="34F7222E" w14:textId="1F471090" w:rsidR="00505B43" w:rsidRPr="004C302D" w:rsidRDefault="00000000" w:rsidP="004C302D">
      <w:pPr>
        <w:spacing w:line="480" w:lineRule="auto"/>
        <w:jc w:val="center"/>
        <w:rPr>
          <w:rFonts w:ascii="Times New Roman" w:hAnsi="Times New Roman" w:cs="Times New Roman"/>
          <w:b/>
          <w:bCs/>
          <w:sz w:val="24"/>
          <w:szCs w:val="24"/>
        </w:rPr>
      </w:pPr>
      <w:r w:rsidRPr="004C302D">
        <w:rPr>
          <w:rFonts w:ascii="Times New Roman" w:hAnsi="Times New Roman" w:cs="Times New Roman"/>
          <w:b/>
          <w:bCs/>
          <w:sz w:val="24"/>
          <w:szCs w:val="24"/>
        </w:rPr>
        <w:lastRenderedPageBreak/>
        <w:t>References</w:t>
      </w:r>
    </w:p>
    <w:p w14:paraId="680F2790" w14:textId="2B7695D7" w:rsidR="00E77907" w:rsidRDefault="00E77907" w:rsidP="004C302D">
      <w:pPr>
        <w:spacing w:line="480" w:lineRule="auto"/>
        <w:ind w:left="720" w:hanging="720"/>
        <w:rPr>
          <w:rFonts w:ascii="Times New Roman" w:hAnsi="Times New Roman" w:cs="Times New Roman"/>
          <w:sz w:val="24"/>
          <w:szCs w:val="24"/>
        </w:rPr>
      </w:pPr>
      <w:r w:rsidRPr="004C302D">
        <w:rPr>
          <w:rFonts w:ascii="Times New Roman" w:hAnsi="Times New Roman" w:cs="Times New Roman"/>
          <w:sz w:val="24"/>
          <w:szCs w:val="24"/>
        </w:rPr>
        <w:t>Barkanian, J. A. (2020). General systems theory: mutual causality and the effectiveness of university e-learning in Lebanon during a pandemic. </w:t>
      </w:r>
      <w:r w:rsidRPr="004C302D">
        <w:rPr>
          <w:rFonts w:ascii="Times New Roman" w:hAnsi="Times New Roman" w:cs="Times New Roman"/>
          <w:i/>
          <w:iCs/>
          <w:sz w:val="24"/>
          <w:szCs w:val="24"/>
        </w:rPr>
        <w:t>Arabian Journal of Business and Management Review (Kuwait Chapter)</w:t>
      </w:r>
      <w:r w:rsidRPr="004C302D">
        <w:rPr>
          <w:rFonts w:ascii="Times New Roman" w:hAnsi="Times New Roman" w:cs="Times New Roman"/>
          <w:sz w:val="24"/>
          <w:szCs w:val="24"/>
        </w:rPr>
        <w:t>, </w:t>
      </w:r>
      <w:r w:rsidRPr="004C302D">
        <w:rPr>
          <w:rFonts w:ascii="Times New Roman" w:hAnsi="Times New Roman" w:cs="Times New Roman"/>
          <w:i/>
          <w:iCs/>
          <w:sz w:val="24"/>
          <w:szCs w:val="24"/>
        </w:rPr>
        <w:t>9</w:t>
      </w:r>
      <w:r w:rsidRPr="004C302D">
        <w:rPr>
          <w:rFonts w:ascii="Times New Roman" w:hAnsi="Times New Roman" w:cs="Times New Roman"/>
          <w:sz w:val="24"/>
          <w:szCs w:val="24"/>
        </w:rPr>
        <w:t>(2), 46-55.</w:t>
      </w:r>
      <w:r w:rsidR="00B156E1" w:rsidRPr="00B156E1">
        <w:t xml:space="preserve"> </w:t>
      </w:r>
      <w:hyperlink r:id="rId7" w:history="1">
        <w:r w:rsidR="00B156E1" w:rsidRPr="00364E6C">
          <w:rPr>
            <w:rStyle w:val="Hyperlink"/>
            <w:rFonts w:ascii="Times New Roman" w:hAnsi="Times New Roman" w:cs="Times New Roman"/>
            <w:sz w:val="24"/>
            <w:szCs w:val="24"/>
          </w:rPr>
          <w:t>https://platform.almanhal.com/Files/Articles/142851</w:t>
        </w:r>
      </w:hyperlink>
    </w:p>
    <w:p w14:paraId="286DA418" w14:textId="650018C5" w:rsidR="00E77907" w:rsidRPr="004C302D" w:rsidRDefault="00E77907" w:rsidP="004C302D">
      <w:pPr>
        <w:spacing w:line="480" w:lineRule="auto"/>
        <w:ind w:left="720" w:hanging="720"/>
        <w:rPr>
          <w:rFonts w:ascii="Times New Roman" w:hAnsi="Times New Roman" w:cs="Times New Roman"/>
          <w:sz w:val="24"/>
          <w:szCs w:val="24"/>
        </w:rPr>
      </w:pPr>
      <w:bookmarkStart w:id="0" w:name="_Hlk142730787"/>
      <w:r w:rsidRPr="004C302D">
        <w:rPr>
          <w:rFonts w:ascii="Times New Roman" w:hAnsi="Times New Roman" w:cs="Times New Roman"/>
          <w:sz w:val="24"/>
          <w:szCs w:val="24"/>
        </w:rPr>
        <w:t>Briggs, L. (2021</w:t>
      </w:r>
      <w:bookmarkEnd w:id="0"/>
      <w:r w:rsidRPr="004C302D">
        <w:rPr>
          <w:rFonts w:ascii="Times New Roman" w:hAnsi="Times New Roman" w:cs="Times New Roman"/>
          <w:sz w:val="24"/>
          <w:szCs w:val="24"/>
        </w:rPr>
        <w:t>). Twentieth century black and native activism against the child taking system: Lessons for the present. </w:t>
      </w:r>
      <w:r w:rsidRPr="004C302D">
        <w:rPr>
          <w:rFonts w:ascii="Times New Roman" w:hAnsi="Times New Roman" w:cs="Times New Roman"/>
          <w:i/>
          <w:iCs/>
          <w:sz w:val="24"/>
          <w:szCs w:val="24"/>
        </w:rPr>
        <w:t>Columbia Journal of Race and Law</w:t>
      </w:r>
      <w:r w:rsidRPr="004C302D">
        <w:rPr>
          <w:rFonts w:ascii="Times New Roman" w:hAnsi="Times New Roman" w:cs="Times New Roman"/>
          <w:sz w:val="24"/>
          <w:szCs w:val="24"/>
        </w:rPr>
        <w:t>, </w:t>
      </w:r>
      <w:r w:rsidRPr="004C302D">
        <w:rPr>
          <w:rFonts w:ascii="Times New Roman" w:hAnsi="Times New Roman" w:cs="Times New Roman"/>
          <w:i/>
          <w:iCs/>
          <w:sz w:val="24"/>
          <w:szCs w:val="24"/>
        </w:rPr>
        <w:t>11</w:t>
      </w:r>
      <w:r w:rsidRPr="004C302D">
        <w:rPr>
          <w:rFonts w:ascii="Times New Roman" w:hAnsi="Times New Roman" w:cs="Times New Roman"/>
          <w:sz w:val="24"/>
          <w:szCs w:val="24"/>
        </w:rPr>
        <w:t>(3), 611-638.</w:t>
      </w:r>
      <w:r w:rsidR="00473371" w:rsidRPr="00473371">
        <w:t xml:space="preserve"> </w:t>
      </w:r>
      <w:hyperlink r:id="rId8" w:history="1">
        <w:r w:rsidR="00473371" w:rsidRPr="00473371">
          <w:rPr>
            <w:rStyle w:val="Hyperlink"/>
            <w:rFonts w:ascii="Times New Roman" w:hAnsi="Times New Roman" w:cs="Times New Roman"/>
            <w:sz w:val="24"/>
            <w:szCs w:val="24"/>
          </w:rPr>
          <w:t>https://doi.org/10.52214/cjrl.v11i3.8746</w:t>
        </w:r>
      </w:hyperlink>
    </w:p>
    <w:p w14:paraId="113D02F7" w14:textId="235BCE6D" w:rsidR="00E77907" w:rsidRPr="004C302D" w:rsidRDefault="00E77907" w:rsidP="004C302D">
      <w:pPr>
        <w:spacing w:line="480" w:lineRule="auto"/>
        <w:ind w:left="720" w:hanging="720"/>
        <w:rPr>
          <w:rFonts w:ascii="Times New Roman" w:hAnsi="Times New Roman" w:cs="Times New Roman"/>
          <w:sz w:val="24"/>
          <w:szCs w:val="24"/>
        </w:rPr>
      </w:pPr>
      <w:r w:rsidRPr="004C302D">
        <w:rPr>
          <w:rFonts w:ascii="Times New Roman" w:hAnsi="Times New Roman" w:cs="Times New Roman"/>
          <w:sz w:val="24"/>
          <w:szCs w:val="24"/>
        </w:rPr>
        <w:t>Bustinza, O. F., Gomes, E., Vendrell‐Herrero, F., &amp; Baines, T. (2019). Product–service innovation and performance: the role of collaborative partnerships and R&amp;D intensity. </w:t>
      </w:r>
      <w:r w:rsidRPr="004C302D">
        <w:rPr>
          <w:rFonts w:ascii="Times New Roman" w:hAnsi="Times New Roman" w:cs="Times New Roman"/>
          <w:i/>
          <w:iCs/>
          <w:sz w:val="24"/>
          <w:szCs w:val="24"/>
        </w:rPr>
        <w:t>R&amp;d Management</w:t>
      </w:r>
      <w:r w:rsidRPr="004C302D">
        <w:rPr>
          <w:rFonts w:ascii="Times New Roman" w:hAnsi="Times New Roman" w:cs="Times New Roman"/>
          <w:sz w:val="24"/>
          <w:szCs w:val="24"/>
        </w:rPr>
        <w:t>, </w:t>
      </w:r>
      <w:r w:rsidRPr="004C302D">
        <w:rPr>
          <w:rFonts w:ascii="Times New Roman" w:hAnsi="Times New Roman" w:cs="Times New Roman"/>
          <w:i/>
          <w:iCs/>
          <w:sz w:val="24"/>
          <w:szCs w:val="24"/>
        </w:rPr>
        <w:t>49</w:t>
      </w:r>
      <w:r w:rsidRPr="004C302D">
        <w:rPr>
          <w:rFonts w:ascii="Times New Roman" w:hAnsi="Times New Roman" w:cs="Times New Roman"/>
          <w:sz w:val="24"/>
          <w:szCs w:val="24"/>
        </w:rPr>
        <w:t>(1), 33-45.</w:t>
      </w:r>
      <w:r w:rsidR="00473371" w:rsidRPr="00473371">
        <w:t xml:space="preserve"> </w:t>
      </w:r>
      <w:hyperlink r:id="rId9" w:history="1">
        <w:r w:rsidR="00473371" w:rsidRPr="00473371">
          <w:rPr>
            <w:rStyle w:val="Hyperlink"/>
            <w:rFonts w:ascii="Times New Roman" w:hAnsi="Times New Roman" w:cs="Times New Roman"/>
            <w:b/>
            <w:bCs/>
            <w:sz w:val="24"/>
            <w:szCs w:val="24"/>
          </w:rPr>
          <w:t>https://doi.org/10.1111/radm.12269</w:t>
        </w:r>
      </w:hyperlink>
    </w:p>
    <w:p w14:paraId="6CA773D4" w14:textId="14846DB2" w:rsidR="00E77907" w:rsidRPr="004C302D" w:rsidRDefault="00E77907" w:rsidP="004C302D">
      <w:pPr>
        <w:spacing w:line="480" w:lineRule="auto"/>
        <w:ind w:left="720" w:hanging="720"/>
        <w:rPr>
          <w:rFonts w:ascii="Times New Roman" w:hAnsi="Times New Roman" w:cs="Times New Roman"/>
          <w:sz w:val="24"/>
          <w:szCs w:val="24"/>
        </w:rPr>
      </w:pPr>
      <w:r w:rsidRPr="004C302D">
        <w:rPr>
          <w:rFonts w:ascii="Times New Roman" w:hAnsi="Times New Roman" w:cs="Times New Roman"/>
          <w:sz w:val="24"/>
          <w:szCs w:val="24"/>
        </w:rPr>
        <w:t>Cadenas, G. A., Cerezo, A., Carlos Chavez, F. L., Capielo Rosario, C., Torres, L., Suro, B., ... &amp; Sanchez, D. (2023). The citizenship shield: Mediated and moderated links between immigration status, discrimination, food insecurity, and negative health outcomes for Latinx immigrants during the COVID‐19 pandemic. </w:t>
      </w:r>
      <w:r w:rsidRPr="004C302D">
        <w:rPr>
          <w:rFonts w:ascii="Times New Roman" w:hAnsi="Times New Roman" w:cs="Times New Roman"/>
          <w:i/>
          <w:iCs/>
          <w:sz w:val="24"/>
          <w:szCs w:val="24"/>
        </w:rPr>
        <w:t>Journal of Community Psychology</w:t>
      </w:r>
      <w:r w:rsidRPr="004C302D">
        <w:rPr>
          <w:rFonts w:ascii="Times New Roman" w:hAnsi="Times New Roman" w:cs="Times New Roman"/>
          <w:sz w:val="24"/>
          <w:szCs w:val="24"/>
        </w:rPr>
        <w:t>, </w:t>
      </w:r>
      <w:r w:rsidRPr="004C302D">
        <w:rPr>
          <w:rFonts w:ascii="Times New Roman" w:hAnsi="Times New Roman" w:cs="Times New Roman"/>
          <w:i/>
          <w:iCs/>
          <w:sz w:val="24"/>
          <w:szCs w:val="24"/>
        </w:rPr>
        <w:t>51</w:t>
      </w:r>
      <w:r w:rsidRPr="004C302D">
        <w:rPr>
          <w:rFonts w:ascii="Times New Roman" w:hAnsi="Times New Roman" w:cs="Times New Roman"/>
          <w:sz w:val="24"/>
          <w:szCs w:val="24"/>
        </w:rPr>
        <w:t>(6), 2355-2371.</w:t>
      </w:r>
      <w:r w:rsidR="00473371" w:rsidRPr="00473371">
        <w:t xml:space="preserve"> </w:t>
      </w:r>
      <w:hyperlink r:id="rId10" w:history="1">
        <w:r w:rsidR="00473371" w:rsidRPr="00473371">
          <w:rPr>
            <w:rStyle w:val="Hyperlink"/>
            <w:rFonts w:ascii="Times New Roman" w:hAnsi="Times New Roman" w:cs="Times New Roman"/>
            <w:b/>
            <w:bCs/>
            <w:sz w:val="24"/>
            <w:szCs w:val="24"/>
          </w:rPr>
          <w:t>https://doi.org/10.1002/jcop.22831</w:t>
        </w:r>
      </w:hyperlink>
    </w:p>
    <w:p w14:paraId="6F136B66" w14:textId="7AC9EEAF" w:rsidR="00E77907" w:rsidRPr="004C302D" w:rsidRDefault="00E77907" w:rsidP="004C302D">
      <w:pPr>
        <w:spacing w:line="480" w:lineRule="auto"/>
        <w:ind w:left="720" w:hanging="720"/>
        <w:rPr>
          <w:rFonts w:ascii="Times New Roman" w:hAnsi="Times New Roman" w:cs="Times New Roman"/>
          <w:sz w:val="24"/>
          <w:szCs w:val="24"/>
        </w:rPr>
      </w:pPr>
      <w:r w:rsidRPr="004C302D">
        <w:rPr>
          <w:rFonts w:ascii="Times New Roman" w:hAnsi="Times New Roman" w:cs="Times New Roman"/>
          <w:sz w:val="24"/>
          <w:szCs w:val="24"/>
        </w:rPr>
        <w:t>Dunk, J. (2022). Psychology as if the whole earth mattered: Nuclear threat, environmental crisis, and the emergence of planetary psychology. </w:t>
      </w:r>
      <w:r w:rsidRPr="004C302D">
        <w:rPr>
          <w:rFonts w:ascii="Times New Roman" w:hAnsi="Times New Roman" w:cs="Times New Roman"/>
          <w:i/>
          <w:iCs/>
          <w:sz w:val="24"/>
          <w:szCs w:val="24"/>
        </w:rPr>
        <w:t>History of Psychology</w:t>
      </w:r>
      <w:r w:rsidRPr="004C302D">
        <w:rPr>
          <w:rFonts w:ascii="Times New Roman" w:hAnsi="Times New Roman" w:cs="Times New Roman"/>
          <w:sz w:val="24"/>
          <w:szCs w:val="24"/>
        </w:rPr>
        <w:t>, </w:t>
      </w:r>
      <w:r w:rsidRPr="004C302D">
        <w:rPr>
          <w:rFonts w:ascii="Times New Roman" w:hAnsi="Times New Roman" w:cs="Times New Roman"/>
          <w:i/>
          <w:iCs/>
          <w:sz w:val="24"/>
          <w:szCs w:val="24"/>
        </w:rPr>
        <w:t>25</w:t>
      </w:r>
      <w:r w:rsidRPr="004C302D">
        <w:rPr>
          <w:rFonts w:ascii="Times New Roman" w:hAnsi="Times New Roman" w:cs="Times New Roman"/>
          <w:sz w:val="24"/>
          <w:szCs w:val="24"/>
        </w:rPr>
        <w:t>(2), 97.</w:t>
      </w:r>
      <w:r w:rsidR="00473371" w:rsidRPr="00473371">
        <w:rPr>
          <w:rFonts w:ascii="Arial" w:hAnsi="Arial" w:cs="Arial"/>
          <w:color w:val="333333"/>
          <w:sz w:val="21"/>
          <w:szCs w:val="21"/>
          <w:shd w:val="clear" w:color="auto" w:fill="FFFFFF"/>
        </w:rPr>
        <w:t xml:space="preserve"> </w:t>
      </w:r>
      <w:r w:rsidR="00473371" w:rsidRPr="00473371">
        <w:rPr>
          <w:rFonts w:ascii="Times New Roman" w:hAnsi="Times New Roman" w:cs="Times New Roman"/>
          <w:sz w:val="24"/>
          <w:szCs w:val="24"/>
        </w:rPr>
        <w:t> </w:t>
      </w:r>
      <w:hyperlink r:id="rId11" w:tgtFrame="_blank" w:history="1">
        <w:r w:rsidR="00473371" w:rsidRPr="00473371">
          <w:rPr>
            <w:rStyle w:val="Hyperlink"/>
            <w:rFonts w:ascii="Times New Roman" w:hAnsi="Times New Roman" w:cs="Times New Roman"/>
            <w:sz w:val="24"/>
            <w:szCs w:val="24"/>
          </w:rPr>
          <w:t>https://doi.org/10.1037/hop0000208</w:t>
        </w:r>
      </w:hyperlink>
    </w:p>
    <w:p w14:paraId="570C0ABC" w14:textId="55F192C2" w:rsidR="00E77907" w:rsidRDefault="00E77907" w:rsidP="004C302D">
      <w:pPr>
        <w:spacing w:line="480" w:lineRule="auto"/>
        <w:ind w:left="720" w:hanging="720"/>
        <w:rPr>
          <w:rFonts w:ascii="Times New Roman" w:hAnsi="Times New Roman" w:cs="Times New Roman"/>
          <w:sz w:val="24"/>
          <w:szCs w:val="24"/>
        </w:rPr>
      </w:pPr>
      <w:r w:rsidRPr="004C302D">
        <w:rPr>
          <w:rFonts w:ascii="Times New Roman" w:hAnsi="Times New Roman" w:cs="Times New Roman"/>
          <w:sz w:val="24"/>
          <w:szCs w:val="24"/>
        </w:rPr>
        <w:t>Eagan, A. E. (2021). </w:t>
      </w:r>
      <w:r w:rsidRPr="004C302D">
        <w:rPr>
          <w:rFonts w:ascii="Times New Roman" w:hAnsi="Times New Roman" w:cs="Times New Roman"/>
          <w:i/>
          <w:iCs/>
          <w:sz w:val="24"/>
          <w:szCs w:val="24"/>
        </w:rPr>
        <w:t>A Plague of Dissent: The Impact Of Covid-19 On The United States’black Lives Matter Movement In 2020</w:t>
      </w:r>
      <w:r w:rsidRPr="004C302D">
        <w:rPr>
          <w:rFonts w:ascii="Times New Roman" w:hAnsi="Times New Roman" w:cs="Times New Roman"/>
          <w:sz w:val="24"/>
          <w:szCs w:val="24"/>
        </w:rPr>
        <w:t> (Doctoral dissertation, Princeton University).</w:t>
      </w:r>
      <w:r w:rsidR="00AD6A16" w:rsidRPr="00AD6A16">
        <w:t xml:space="preserve"> </w:t>
      </w:r>
      <w:hyperlink r:id="rId12" w:history="1">
        <w:r w:rsidR="00AD6A16" w:rsidRPr="00364E6C">
          <w:rPr>
            <w:rStyle w:val="Hyperlink"/>
            <w:rFonts w:ascii="Times New Roman" w:hAnsi="Times New Roman" w:cs="Times New Roman"/>
            <w:sz w:val="24"/>
            <w:szCs w:val="24"/>
          </w:rPr>
          <w:t>https://www.researchgate.net/profile/Ara-</w:t>
        </w:r>
        <w:r w:rsidR="00AD6A16" w:rsidRPr="00364E6C">
          <w:rPr>
            <w:rStyle w:val="Hyperlink"/>
            <w:rFonts w:ascii="Times New Roman" w:hAnsi="Times New Roman" w:cs="Times New Roman"/>
            <w:sz w:val="24"/>
            <w:szCs w:val="24"/>
          </w:rPr>
          <w:lastRenderedPageBreak/>
          <w:t>Eagan/publication/354602275_A_Plague_of_Dissent_The_Impact_of_COVID-19_on_the_United_States'_Black_Lives_Matter_BLM_Movement_in_2020/links/6141eede60f0fe3442619105/A-Plague-of-Dissent-The-Impact-of-COVID-19-on-the-United-States-Black-Lives-Matter-BLM-Movement-in-2020.pd</w:t>
        </w:r>
        <w:r w:rsidR="00AD6A16" w:rsidRPr="00364E6C">
          <w:rPr>
            <w:rStyle w:val="Hyperlink"/>
            <w:rFonts w:ascii="Times New Roman" w:hAnsi="Times New Roman" w:cs="Times New Roman"/>
            <w:sz w:val="24"/>
            <w:szCs w:val="24"/>
          </w:rPr>
          <w:t>f</w:t>
        </w:r>
      </w:hyperlink>
    </w:p>
    <w:p w14:paraId="0404B0AF" w14:textId="7E13BD58" w:rsidR="00E77907" w:rsidRPr="004C302D" w:rsidRDefault="00E77907" w:rsidP="00473371">
      <w:pPr>
        <w:spacing w:line="480" w:lineRule="auto"/>
        <w:ind w:left="720" w:hanging="720"/>
        <w:rPr>
          <w:rFonts w:ascii="Times New Roman" w:hAnsi="Times New Roman" w:cs="Times New Roman"/>
          <w:sz w:val="24"/>
          <w:szCs w:val="24"/>
        </w:rPr>
      </w:pPr>
      <w:r w:rsidRPr="004C302D">
        <w:rPr>
          <w:rFonts w:ascii="Times New Roman" w:hAnsi="Times New Roman" w:cs="Times New Roman"/>
          <w:sz w:val="24"/>
          <w:szCs w:val="24"/>
        </w:rPr>
        <w:t>Goggin, G., Ellis, K., &amp; Hawkins, W. (2019). Disability at the centre of digital inclusion: assessing a new moment in technology and rights. </w:t>
      </w:r>
      <w:r w:rsidRPr="004C302D">
        <w:rPr>
          <w:rFonts w:ascii="Times New Roman" w:hAnsi="Times New Roman" w:cs="Times New Roman"/>
          <w:i/>
          <w:iCs/>
          <w:sz w:val="24"/>
          <w:szCs w:val="24"/>
        </w:rPr>
        <w:t>Communication Research and Practice</w:t>
      </w:r>
      <w:r w:rsidRPr="004C302D">
        <w:rPr>
          <w:rFonts w:ascii="Times New Roman" w:hAnsi="Times New Roman" w:cs="Times New Roman"/>
          <w:sz w:val="24"/>
          <w:szCs w:val="24"/>
        </w:rPr>
        <w:t>, </w:t>
      </w:r>
      <w:r w:rsidRPr="004C302D">
        <w:rPr>
          <w:rFonts w:ascii="Times New Roman" w:hAnsi="Times New Roman" w:cs="Times New Roman"/>
          <w:i/>
          <w:iCs/>
          <w:sz w:val="24"/>
          <w:szCs w:val="24"/>
        </w:rPr>
        <w:t>5</w:t>
      </w:r>
      <w:r w:rsidRPr="004C302D">
        <w:rPr>
          <w:rFonts w:ascii="Times New Roman" w:hAnsi="Times New Roman" w:cs="Times New Roman"/>
          <w:sz w:val="24"/>
          <w:szCs w:val="24"/>
        </w:rPr>
        <w:t>(3), 290-303.</w:t>
      </w:r>
      <w:r w:rsidR="00473371" w:rsidRPr="00473371">
        <w:rPr>
          <w:rFonts w:ascii="Open Sans" w:eastAsia="Times New Roman" w:hAnsi="Open Sans" w:cs="Open Sans"/>
          <w:color w:val="333333"/>
          <w:kern w:val="0"/>
          <w:sz w:val="20"/>
          <w:szCs w:val="20"/>
          <w14:ligatures w14:val="none"/>
        </w:rPr>
        <w:t xml:space="preserve"> </w:t>
      </w:r>
      <w:hyperlink r:id="rId13" w:history="1">
        <w:r w:rsidR="00473371" w:rsidRPr="00473371">
          <w:rPr>
            <w:rStyle w:val="Hyperlink"/>
            <w:rFonts w:ascii="Times New Roman" w:hAnsi="Times New Roman" w:cs="Times New Roman"/>
            <w:sz w:val="24"/>
            <w:szCs w:val="24"/>
          </w:rPr>
          <w:t>https://doi.org/10.1080/22041451.2019.1641061</w:t>
        </w:r>
      </w:hyperlink>
    </w:p>
    <w:p w14:paraId="42FAC9A5" w14:textId="33D722C2" w:rsidR="00E77907" w:rsidRDefault="00E77907" w:rsidP="00AD6A16">
      <w:pPr>
        <w:spacing w:line="480" w:lineRule="auto"/>
        <w:rPr>
          <w:rFonts w:ascii="Times New Roman" w:hAnsi="Times New Roman" w:cs="Times New Roman"/>
          <w:sz w:val="24"/>
          <w:szCs w:val="24"/>
        </w:rPr>
      </w:pPr>
      <w:r w:rsidRPr="004C302D">
        <w:rPr>
          <w:rFonts w:ascii="Times New Roman" w:hAnsi="Times New Roman" w:cs="Times New Roman"/>
          <w:sz w:val="24"/>
          <w:szCs w:val="24"/>
        </w:rPr>
        <w:t>Harvey, M. (2022). </w:t>
      </w:r>
      <w:r w:rsidRPr="004C302D">
        <w:rPr>
          <w:rFonts w:ascii="Times New Roman" w:hAnsi="Times New Roman" w:cs="Times New Roman"/>
          <w:i/>
          <w:iCs/>
          <w:sz w:val="24"/>
          <w:szCs w:val="24"/>
        </w:rPr>
        <w:t>On the Road to the Promise Land: A Comparative study of 19th and 20th Century Black Activism to the Black Lives Matter Movement</w:t>
      </w:r>
      <w:r w:rsidRPr="004C302D">
        <w:rPr>
          <w:rFonts w:ascii="Times New Roman" w:hAnsi="Times New Roman" w:cs="Times New Roman"/>
          <w:sz w:val="24"/>
          <w:szCs w:val="24"/>
        </w:rPr>
        <w:t> (Doctoral dissertation, Valdosta State University).</w:t>
      </w:r>
      <w:r w:rsidR="00AD6A16" w:rsidRPr="00AD6A16">
        <w:t xml:space="preserve"> </w:t>
      </w:r>
      <w:hyperlink r:id="rId14" w:history="1">
        <w:r w:rsidR="00AD6A16" w:rsidRPr="00364E6C">
          <w:rPr>
            <w:rStyle w:val="Hyperlink"/>
            <w:rFonts w:ascii="Times New Roman" w:hAnsi="Times New Roman" w:cs="Times New Roman"/>
            <w:sz w:val="24"/>
            <w:szCs w:val="24"/>
          </w:rPr>
          <w:t>https://www.proquest.com/openview/e8e4d998d0dc863b429735989817881b/1?pq-origsite=gscholar&amp;cbl=18750&amp;diss=y</w:t>
        </w:r>
      </w:hyperlink>
    </w:p>
    <w:p w14:paraId="2A168EE4" w14:textId="32418DA7" w:rsidR="00E77907" w:rsidRPr="004C302D" w:rsidRDefault="00E77907" w:rsidP="004C302D">
      <w:pPr>
        <w:spacing w:line="480" w:lineRule="auto"/>
        <w:ind w:left="720" w:hanging="720"/>
        <w:rPr>
          <w:rFonts w:ascii="Times New Roman" w:hAnsi="Times New Roman" w:cs="Times New Roman"/>
          <w:sz w:val="24"/>
          <w:szCs w:val="24"/>
        </w:rPr>
      </w:pPr>
      <w:r w:rsidRPr="004C302D">
        <w:rPr>
          <w:rFonts w:ascii="Times New Roman" w:hAnsi="Times New Roman" w:cs="Times New Roman"/>
          <w:sz w:val="24"/>
          <w:szCs w:val="24"/>
        </w:rPr>
        <w:t>Marín-González, F., Moganadas, S. R., Paredes-Chacín, A. J., Yeo, S. F., &amp; Subramaniam, S. (2022). Sustainable local development: consolidated framework for cross-sectoral cooperation via a systematic approach. </w:t>
      </w:r>
      <w:r w:rsidRPr="004C302D">
        <w:rPr>
          <w:rFonts w:ascii="Times New Roman" w:hAnsi="Times New Roman" w:cs="Times New Roman"/>
          <w:i/>
          <w:iCs/>
          <w:sz w:val="24"/>
          <w:szCs w:val="24"/>
        </w:rPr>
        <w:t>Sustainability</w:t>
      </w:r>
      <w:r w:rsidRPr="004C302D">
        <w:rPr>
          <w:rFonts w:ascii="Times New Roman" w:hAnsi="Times New Roman" w:cs="Times New Roman"/>
          <w:sz w:val="24"/>
          <w:szCs w:val="24"/>
        </w:rPr>
        <w:t>, </w:t>
      </w:r>
      <w:r w:rsidRPr="004C302D">
        <w:rPr>
          <w:rFonts w:ascii="Times New Roman" w:hAnsi="Times New Roman" w:cs="Times New Roman"/>
          <w:i/>
          <w:iCs/>
          <w:sz w:val="24"/>
          <w:szCs w:val="24"/>
        </w:rPr>
        <w:t>14</w:t>
      </w:r>
      <w:r w:rsidRPr="004C302D">
        <w:rPr>
          <w:rFonts w:ascii="Times New Roman" w:hAnsi="Times New Roman" w:cs="Times New Roman"/>
          <w:sz w:val="24"/>
          <w:szCs w:val="24"/>
        </w:rPr>
        <w:t>(11), 6601.</w:t>
      </w:r>
      <w:r w:rsidR="000755ED" w:rsidRPr="000755ED">
        <w:t xml:space="preserve"> </w:t>
      </w:r>
      <w:hyperlink r:id="rId15" w:history="1">
        <w:r w:rsidR="000755ED" w:rsidRPr="000755ED">
          <w:rPr>
            <w:rStyle w:val="Hyperlink"/>
            <w:rFonts w:ascii="Times New Roman" w:hAnsi="Times New Roman" w:cs="Times New Roman"/>
            <w:b/>
            <w:bCs/>
            <w:sz w:val="24"/>
            <w:szCs w:val="24"/>
          </w:rPr>
          <w:t>https://doi.org/10.3390/su14116601</w:t>
        </w:r>
      </w:hyperlink>
    </w:p>
    <w:p w14:paraId="3E749366" w14:textId="30001742" w:rsidR="00E77907" w:rsidRPr="004C302D" w:rsidRDefault="00E77907" w:rsidP="004C302D">
      <w:pPr>
        <w:spacing w:line="480" w:lineRule="auto"/>
        <w:ind w:left="720" w:hanging="720"/>
        <w:rPr>
          <w:rFonts w:ascii="Times New Roman" w:hAnsi="Times New Roman" w:cs="Times New Roman"/>
          <w:sz w:val="24"/>
          <w:szCs w:val="24"/>
        </w:rPr>
      </w:pPr>
      <w:r w:rsidRPr="004C302D">
        <w:rPr>
          <w:rFonts w:ascii="Times New Roman" w:hAnsi="Times New Roman" w:cs="Times New Roman"/>
          <w:sz w:val="24"/>
          <w:szCs w:val="24"/>
        </w:rPr>
        <w:t>Rekia, D., &amp; Mostéfaoui, A. (2022). </w:t>
      </w:r>
      <w:r w:rsidRPr="004C302D">
        <w:rPr>
          <w:rFonts w:ascii="Times New Roman" w:hAnsi="Times New Roman" w:cs="Times New Roman"/>
          <w:i/>
          <w:iCs/>
          <w:sz w:val="24"/>
          <w:szCs w:val="24"/>
        </w:rPr>
        <w:t>The Civil Rights Movement (1940/1960)</w:t>
      </w:r>
      <w:r w:rsidRPr="004C302D">
        <w:rPr>
          <w:rFonts w:ascii="Times New Roman" w:hAnsi="Times New Roman" w:cs="Times New Roman"/>
          <w:sz w:val="24"/>
          <w:szCs w:val="24"/>
        </w:rPr>
        <w:t> (Doctoral dissertation, University Ahmed DRAIA of Adrar).</w:t>
      </w:r>
      <w:r w:rsidR="000755ED" w:rsidRPr="000755ED">
        <w:t xml:space="preserve"> </w:t>
      </w:r>
      <w:hyperlink r:id="rId16" w:history="1">
        <w:r w:rsidR="000755ED" w:rsidRPr="000755ED">
          <w:rPr>
            <w:rStyle w:val="Hyperlink"/>
            <w:rFonts w:ascii="Times New Roman" w:hAnsi="Times New Roman" w:cs="Times New Roman"/>
            <w:sz w:val="24"/>
            <w:szCs w:val="24"/>
          </w:rPr>
          <w:t>https://dspace.univ-adrar.edu.dz/jspui/handle/123456789/6478</w:t>
        </w:r>
      </w:hyperlink>
    </w:p>
    <w:p w14:paraId="19479057" w14:textId="37D171BC" w:rsidR="00E77907" w:rsidRDefault="00E77907" w:rsidP="004C302D">
      <w:pPr>
        <w:spacing w:line="480" w:lineRule="auto"/>
        <w:ind w:left="720" w:hanging="720"/>
        <w:rPr>
          <w:rFonts w:ascii="Times New Roman" w:hAnsi="Times New Roman" w:cs="Times New Roman"/>
          <w:sz w:val="24"/>
          <w:szCs w:val="24"/>
        </w:rPr>
      </w:pPr>
      <w:r w:rsidRPr="001A13CC">
        <w:rPr>
          <w:rFonts w:ascii="Times New Roman" w:hAnsi="Times New Roman" w:cs="Times New Roman"/>
          <w:sz w:val="24"/>
          <w:szCs w:val="24"/>
        </w:rPr>
        <w:t>Scott, W. R., &amp; Davis, G. F. (201</w:t>
      </w:r>
      <w:r>
        <w:rPr>
          <w:rFonts w:ascii="Times New Roman" w:hAnsi="Times New Roman" w:cs="Times New Roman"/>
          <w:sz w:val="24"/>
          <w:szCs w:val="24"/>
        </w:rPr>
        <w:t>7</w:t>
      </w:r>
      <w:r w:rsidRPr="001A13CC">
        <w:rPr>
          <w:rFonts w:ascii="Times New Roman" w:hAnsi="Times New Roman" w:cs="Times New Roman"/>
          <w:sz w:val="24"/>
          <w:szCs w:val="24"/>
        </w:rPr>
        <w:t>). </w:t>
      </w:r>
      <w:r w:rsidRPr="001A13CC">
        <w:rPr>
          <w:rFonts w:ascii="Times New Roman" w:hAnsi="Times New Roman" w:cs="Times New Roman"/>
          <w:i/>
          <w:iCs/>
          <w:sz w:val="24"/>
          <w:szCs w:val="24"/>
        </w:rPr>
        <w:t xml:space="preserve">Organizations and organizing: Rational, </w:t>
      </w:r>
      <w:r w:rsidRPr="001A13CC">
        <w:rPr>
          <w:rFonts w:ascii="Times New Roman" w:hAnsi="Times New Roman" w:cs="Times New Roman"/>
          <w:i/>
          <w:iCs/>
          <w:sz w:val="24"/>
          <w:szCs w:val="24"/>
        </w:rPr>
        <w:t>natural,</w:t>
      </w:r>
      <w:r w:rsidRPr="001A13CC">
        <w:rPr>
          <w:rFonts w:ascii="Times New Roman" w:hAnsi="Times New Roman" w:cs="Times New Roman"/>
          <w:i/>
          <w:iCs/>
          <w:sz w:val="24"/>
          <w:szCs w:val="24"/>
        </w:rPr>
        <w:t xml:space="preserve"> and open systems perspectives</w:t>
      </w:r>
      <w:r w:rsidRPr="001A13CC">
        <w:rPr>
          <w:rFonts w:ascii="Times New Roman" w:hAnsi="Times New Roman" w:cs="Times New Roman"/>
          <w:sz w:val="24"/>
          <w:szCs w:val="24"/>
        </w:rPr>
        <w:t>. Routledge.</w:t>
      </w:r>
      <w:r w:rsidR="00AD6A16" w:rsidRPr="00AD6A16">
        <w:t xml:space="preserve"> </w:t>
      </w:r>
      <w:hyperlink r:id="rId17" w:history="1">
        <w:r w:rsidR="00AD6A16" w:rsidRPr="00364E6C">
          <w:rPr>
            <w:rStyle w:val="Hyperlink"/>
            <w:rFonts w:ascii="Times New Roman" w:hAnsi="Times New Roman" w:cs="Times New Roman"/>
            <w:sz w:val="24"/>
            <w:szCs w:val="24"/>
          </w:rPr>
          <w:t>https://books.google.co.ke/books?id=aNRRCgAAQBAJ&amp;lpg=PP1&amp;ots=nIIaVXCRSE&amp;</w:t>
        </w:r>
        <w:r w:rsidR="00AD6A16" w:rsidRPr="00364E6C">
          <w:rPr>
            <w:rStyle w:val="Hyperlink"/>
            <w:rFonts w:ascii="Times New Roman" w:hAnsi="Times New Roman" w:cs="Times New Roman"/>
            <w:sz w:val="24"/>
            <w:szCs w:val="24"/>
          </w:rPr>
          <w:lastRenderedPageBreak/>
          <w:t>dq=Scott%2C%20W.%20R.%2C%20%26%20Davis%2C%20G.%20F.%20(2017).%20Organizations%20and%20organizing%3A%20Rational%2C%20natural%2C%20and%20open%20systems%20perspectives.%20Routledge.&amp;lr&amp;pg=PP1#v=onepage&amp;q&amp;f=false</w:t>
        </w:r>
      </w:hyperlink>
    </w:p>
    <w:p w14:paraId="69791CBD" w14:textId="29C93A02" w:rsidR="00E77907" w:rsidRDefault="00E77907" w:rsidP="004C302D">
      <w:pPr>
        <w:spacing w:line="480" w:lineRule="auto"/>
        <w:ind w:left="720" w:hanging="720"/>
        <w:rPr>
          <w:rFonts w:ascii="Times New Roman" w:hAnsi="Times New Roman" w:cs="Times New Roman"/>
          <w:sz w:val="24"/>
          <w:szCs w:val="24"/>
        </w:rPr>
      </w:pPr>
      <w:bookmarkStart w:id="1" w:name="_Hlk142730027"/>
      <w:r w:rsidRPr="004C302D">
        <w:rPr>
          <w:rFonts w:ascii="Times New Roman" w:hAnsi="Times New Roman" w:cs="Times New Roman"/>
          <w:sz w:val="24"/>
          <w:szCs w:val="24"/>
        </w:rPr>
        <w:t>Smith, H. (2021</w:t>
      </w:r>
      <w:bookmarkEnd w:id="1"/>
      <w:r w:rsidRPr="004C302D">
        <w:rPr>
          <w:rFonts w:ascii="Times New Roman" w:hAnsi="Times New Roman" w:cs="Times New Roman"/>
          <w:sz w:val="24"/>
          <w:szCs w:val="24"/>
        </w:rPr>
        <w:t>). Designing for Equity. </w:t>
      </w:r>
      <w:r w:rsidRPr="004C302D">
        <w:rPr>
          <w:rFonts w:ascii="Times New Roman" w:hAnsi="Times New Roman" w:cs="Times New Roman"/>
          <w:i/>
          <w:iCs/>
          <w:sz w:val="24"/>
          <w:szCs w:val="24"/>
        </w:rPr>
        <w:t>State Education Standard</w:t>
      </w:r>
      <w:r w:rsidRPr="004C302D">
        <w:rPr>
          <w:rFonts w:ascii="Times New Roman" w:hAnsi="Times New Roman" w:cs="Times New Roman"/>
          <w:sz w:val="24"/>
          <w:szCs w:val="24"/>
        </w:rPr>
        <w:t>, </w:t>
      </w:r>
      <w:r w:rsidRPr="004C302D">
        <w:rPr>
          <w:rFonts w:ascii="Times New Roman" w:hAnsi="Times New Roman" w:cs="Times New Roman"/>
          <w:i/>
          <w:iCs/>
          <w:sz w:val="24"/>
          <w:szCs w:val="24"/>
        </w:rPr>
        <w:t>21</w:t>
      </w:r>
      <w:r w:rsidRPr="004C302D">
        <w:rPr>
          <w:rFonts w:ascii="Times New Roman" w:hAnsi="Times New Roman" w:cs="Times New Roman"/>
          <w:sz w:val="24"/>
          <w:szCs w:val="24"/>
        </w:rPr>
        <w:t>(3), 11-15.</w:t>
      </w:r>
      <w:r w:rsidR="00AD6A16" w:rsidRPr="00AD6A16">
        <w:t xml:space="preserve"> </w:t>
      </w:r>
      <w:hyperlink r:id="rId18" w:history="1">
        <w:r w:rsidR="00AD6A16" w:rsidRPr="00364E6C">
          <w:rPr>
            <w:rStyle w:val="Hyperlink"/>
            <w:rFonts w:ascii="Times New Roman" w:hAnsi="Times New Roman" w:cs="Times New Roman"/>
            <w:sz w:val="24"/>
            <w:szCs w:val="24"/>
          </w:rPr>
          <w:t>https://eric.ed.gov/?id=EJ1315161</w:t>
        </w:r>
      </w:hyperlink>
    </w:p>
    <w:p w14:paraId="3D116EFE" w14:textId="77777777" w:rsidR="00AD6A16" w:rsidRDefault="00AD6A16" w:rsidP="004C302D">
      <w:pPr>
        <w:spacing w:line="480" w:lineRule="auto"/>
        <w:ind w:left="720" w:hanging="720"/>
        <w:rPr>
          <w:rFonts w:ascii="Times New Roman" w:hAnsi="Times New Roman" w:cs="Times New Roman"/>
          <w:sz w:val="24"/>
          <w:szCs w:val="24"/>
        </w:rPr>
      </w:pPr>
    </w:p>
    <w:p w14:paraId="5495A7A5" w14:textId="77777777" w:rsidR="00550C66" w:rsidRPr="004C302D" w:rsidRDefault="00550C66" w:rsidP="004C302D">
      <w:pPr>
        <w:spacing w:line="480" w:lineRule="auto"/>
        <w:rPr>
          <w:rFonts w:ascii="Times New Roman" w:hAnsi="Times New Roman" w:cs="Times New Roman"/>
          <w:sz w:val="24"/>
          <w:szCs w:val="24"/>
        </w:rPr>
      </w:pPr>
    </w:p>
    <w:p w14:paraId="41A87866" w14:textId="77777777" w:rsidR="008C0A88" w:rsidRPr="004C302D" w:rsidRDefault="008C0A88" w:rsidP="004C302D">
      <w:pPr>
        <w:spacing w:line="480" w:lineRule="auto"/>
        <w:rPr>
          <w:rFonts w:ascii="Times New Roman" w:hAnsi="Times New Roman" w:cs="Times New Roman"/>
          <w:sz w:val="24"/>
          <w:szCs w:val="24"/>
        </w:rPr>
      </w:pPr>
    </w:p>
    <w:p w14:paraId="1AC2A881" w14:textId="77777777" w:rsidR="008C0A88" w:rsidRPr="004C302D" w:rsidRDefault="008C0A88" w:rsidP="004C302D">
      <w:pPr>
        <w:spacing w:line="480" w:lineRule="auto"/>
        <w:rPr>
          <w:rFonts w:ascii="Times New Roman" w:hAnsi="Times New Roman" w:cs="Times New Roman"/>
          <w:sz w:val="24"/>
          <w:szCs w:val="24"/>
        </w:rPr>
      </w:pPr>
    </w:p>
    <w:p w14:paraId="0CAACA2D" w14:textId="77777777" w:rsidR="00F23E87" w:rsidRPr="004C302D" w:rsidRDefault="00F23E87" w:rsidP="004C302D">
      <w:pPr>
        <w:spacing w:line="480" w:lineRule="auto"/>
        <w:rPr>
          <w:rFonts w:ascii="Times New Roman" w:hAnsi="Times New Roman" w:cs="Times New Roman"/>
          <w:sz w:val="24"/>
          <w:szCs w:val="24"/>
        </w:rPr>
      </w:pPr>
    </w:p>
    <w:sectPr w:rsidR="00F23E87" w:rsidRPr="004C302D">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8F8C" w14:textId="77777777" w:rsidR="005A3926" w:rsidRDefault="005A3926">
      <w:pPr>
        <w:spacing w:after="0" w:line="240" w:lineRule="auto"/>
      </w:pPr>
      <w:r>
        <w:separator/>
      </w:r>
    </w:p>
  </w:endnote>
  <w:endnote w:type="continuationSeparator" w:id="0">
    <w:p w14:paraId="69461617" w14:textId="77777777" w:rsidR="005A3926" w:rsidRDefault="005A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A0DC6" w14:textId="77777777" w:rsidR="005A3926" w:rsidRDefault="005A3926">
      <w:pPr>
        <w:spacing w:after="0" w:line="240" w:lineRule="auto"/>
      </w:pPr>
      <w:r>
        <w:separator/>
      </w:r>
    </w:p>
  </w:footnote>
  <w:footnote w:type="continuationSeparator" w:id="0">
    <w:p w14:paraId="1221E356" w14:textId="77777777" w:rsidR="005A3926" w:rsidRDefault="005A3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213727"/>
      <w:docPartObj>
        <w:docPartGallery w:val="Page Numbers (Top of Page)"/>
        <w:docPartUnique/>
      </w:docPartObj>
    </w:sdtPr>
    <w:sdtEndPr>
      <w:rPr>
        <w:rFonts w:ascii="Times New Roman" w:hAnsi="Times New Roman" w:cs="Times New Roman"/>
        <w:noProof/>
        <w:sz w:val="24"/>
        <w:szCs w:val="24"/>
      </w:rPr>
    </w:sdtEndPr>
    <w:sdtContent>
      <w:p w14:paraId="18B3EEF8" w14:textId="3054C1DC" w:rsidR="00BC720A" w:rsidRPr="00BC720A" w:rsidRDefault="00000000">
        <w:pPr>
          <w:pStyle w:val="Header"/>
          <w:jc w:val="right"/>
          <w:rPr>
            <w:rFonts w:ascii="Times New Roman" w:hAnsi="Times New Roman" w:cs="Times New Roman"/>
            <w:sz w:val="24"/>
            <w:szCs w:val="24"/>
          </w:rPr>
        </w:pPr>
        <w:r w:rsidRPr="00BC720A">
          <w:rPr>
            <w:rFonts w:ascii="Times New Roman" w:hAnsi="Times New Roman" w:cs="Times New Roman"/>
            <w:sz w:val="24"/>
            <w:szCs w:val="24"/>
          </w:rPr>
          <w:fldChar w:fldCharType="begin"/>
        </w:r>
        <w:r w:rsidRPr="00BC720A">
          <w:rPr>
            <w:rFonts w:ascii="Times New Roman" w:hAnsi="Times New Roman" w:cs="Times New Roman"/>
            <w:sz w:val="24"/>
            <w:szCs w:val="24"/>
          </w:rPr>
          <w:instrText xml:space="preserve"> PAGE   \* MERGEFORMAT </w:instrText>
        </w:r>
        <w:r w:rsidRPr="00BC720A">
          <w:rPr>
            <w:rFonts w:ascii="Times New Roman" w:hAnsi="Times New Roman" w:cs="Times New Roman"/>
            <w:sz w:val="24"/>
            <w:szCs w:val="24"/>
          </w:rPr>
          <w:fldChar w:fldCharType="separate"/>
        </w:r>
        <w:r w:rsidRPr="00BC720A">
          <w:rPr>
            <w:rFonts w:ascii="Times New Roman" w:hAnsi="Times New Roman" w:cs="Times New Roman"/>
            <w:noProof/>
            <w:sz w:val="24"/>
            <w:szCs w:val="24"/>
          </w:rPr>
          <w:t>2</w:t>
        </w:r>
        <w:r w:rsidRPr="00BC720A">
          <w:rPr>
            <w:rFonts w:ascii="Times New Roman" w:hAnsi="Times New Roman" w:cs="Times New Roman"/>
            <w:noProof/>
            <w:sz w:val="24"/>
            <w:szCs w:val="24"/>
          </w:rPr>
          <w:fldChar w:fldCharType="end"/>
        </w:r>
      </w:p>
    </w:sdtContent>
  </w:sdt>
  <w:p w14:paraId="40269889" w14:textId="77777777" w:rsidR="00BC720A" w:rsidRDefault="00BC7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152"/>
    <w:multiLevelType w:val="multilevel"/>
    <w:tmpl w:val="557A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029AE"/>
    <w:multiLevelType w:val="multilevel"/>
    <w:tmpl w:val="5EE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157442">
    <w:abstractNumId w:val="1"/>
  </w:num>
  <w:num w:numId="2" w16cid:durableId="189866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3E"/>
    <w:rsid w:val="000107C6"/>
    <w:rsid w:val="0004288D"/>
    <w:rsid w:val="00046D01"/>
    <w:rsid w:val="0005605E"/>
    <w:rsid w:val="000755ED"/>
    <w:rsid w:val="00090883"/>
    <w:rsid w:val="00093521"/>
    <w:rsid w:val="000A3677"/>
    <w:rsid w:val="000A56D9"/>
    <w:rsid w:val="000C1D01"/>
    <w:rsid w:val="000D677E"/>
    <w:rsid w:val="00114B4D"/>
    <w:rsid w:val="00141E8D"/>
    <w:rsid w:val="0014797C"/>
    <w:rsid w:val="001623CA"/>
    <w:rsid w:val="001833FA"/>
    <w:rsid w:val="001A13CC"/>
    <w:rsid w:val="001A5932"/>
    <w:rsid w:val="001B51BB"/>
    <w:rsid w:val="001B7BDC"/>
    <w:rsid w:val="001E44E0"/>
    <w:rsid w:val="00240635"/>
    <w:rsid w:val="00252B27"/>
    <w:rsid w:val="00262C9C"/>
    <w:rsid w:val="00287AE9"/>
    <w:rsid w:val="002A3146"/>
    <w:rsid w:val="002A38F1"/>
    <w:rsid w:val="002D25B0"/>
    <w:rsid w:val="002D70F1"/>
    <w:rsid w:val="003166E7"/>
    <w:rsid w:val="0031735D"/>
    <w:rsid w:val="00357904"/>
    <w:rsid w:val="00362016"/>
    <w:rsid w:val="00363DB3"/>
    <w:rsid w:val="00384E49"/>
    <w:rsid w:val="003B7B31"/>
    <w:rsid w:val="003C31F8"/>
    <w:rsid w:val="003E5B4E"/>
    <w:rsid w:val="003E6CDB"/>
    <w:rsid w:val="004269E6"/>
    <w:rsid w:val="00473371"/>
    <w:rsid w:val="004974AD"/>
    <w:rsid w:val="004A3B2F"/>
    <w:rsid w:val="004B1E64"/>
    <w:rsid w:val="004C302D"/>
    <w:rsid w:val="004C6FF6"/>
    <w:rsid w:val="004D6C8B"/>
    <w:rsid w:val="004E1327"/>
    <w:rsid w:val="004E4287"/>
    <w:rsid w:val="004E6756"/>
    <w:rsid w:val="00505B43"/>
    <w:rsid w:val="005162A2"/>
    <w:rsid w:val="00520528"/>
    <w:rsid w:val="00550C66"/>
    <w:rsid w:val="00553649"/>
    <w:rsid w:val="00562446"/>
    <w:rsid w:val="00573E8C"/>
    <w:rsid w:val="005A3926"/>
    <w:rsid w:val="005A3A7C"/>
    <w:rsid w:val="005B517A"/>
    <w:rsid w:val="005E45C4"/>
    <w:rsid w:val="005F3207"/>
    <w:rsid w:val="0060040C"/>
    <w:rsid w:val="00600F2E"/>
    <w:rsid w:val="00636E3E"/>
    <w:rsid w:val="00640F2F"/>
    <w:rsid w:val="00657D4A"/>
    <w:rsid w:val="00677672"/>
    <w:rsid w:val="00685048"/>
    <w:rsid w:val="006869AB"/>
    <w:rsid w:val="006D7A01"/>
    <w:rsid w:val="006E464B"/>
    <w:rsid w:val="006F4782"/>
    <w:rsid w:val="007066C8"/>
    <w:rsid w:val="00712AD6"/>
    <w:rsid w:val="00731DEB"/>
    <w:rsid w:val="00735445"/>
    <w:rsid w:val="00750433"/>
    <w:rsid w:val="007515A8"/>
    <w:rsid w:val="00776CFC"/>
    <w:rsid w:val="00782BA6"/>
    <w:rsid w:val="007C7549"/>
    <w:rsid w:val="007D5205"/>
    <w:rsid w:val="007D758F"/>
    <w:rsid w:val="007F3455"/>
    <w:rsid w:val="00847A05"/>
    <w:rsid w:val="0085112B"/>
    <w:rsid w:val="00860D22"/>
    <w:rsid w:val="0087290E"/>
    <w:rsid w:val="00885677"/>
    <w:rsid w:val="008A3748"/>
    <w:rsid w:val="008C0A88"/>
    <w:rsid w:val="008C4568"/>
    <w:rsid w:val="008F5D56"/>
    <w:rsid w:val="00933B58"/>
    <w:rsid w:val="009A19EF"/>
    <w:rsid w:val="009B2F7D"/>
    <w:rsid w:val="009B3502"/>
    <w:rsid w:val="009B3808"/>
    <w:rsid w:val="00A1355B"/>
    <w:rsid w:val="00A57F85"/>
    <w:rsid w:val="00A71F69"/>
    <w:rsid w:val="00A80AD7"/>
    <w:rsid w:val="00A83A7A"/>
    <w:rsid w:val="00A876BB"/>
    <w:rsid w:val="00A900D7"/>
    <w:rsid w:val="00AB31DA"/>
    <w:rsid w:val="00AC6878"/>
    <w:rsid w:val="00AD6A16"/>
    <w:rsid w:val="00AF3C53"/>
    <w:rsid w:val="00B0780B"/>
    <w:rsid w:val="00B156E1"/>
    <w:rsid w:val="00BC720A"/>
    <w:rsid w:val="00BE5EF2"/>
    <w:rsid w:val="00C0327C"/>
    <w:rsid w:val="00C07C12"/>
    <w:rsid w:val="00C345CA"/>
    <w:rsid w:val="00C63E35"/>
    <w:rsid w:val="00C7676E"/>
    <w:rsid w:val="00CB6BB9"/>
    <w:rsid w:val="00CD5F83"/>
    <w:rsid w:val="00D250F2"/>
    <w:rsid w:val="00D411A7"/>
    <w:rsid w:val="00D54463"/>
    <w:rsid w:val="00D54713"/>
    <w:rsid w:val="00DE418A"/>
    <w:rsid w:val="00E0028D"/>
    <w:rsid w:val="00E15CA8"/>
    <w:rsid w:val="00E77907"/>
    <w:rsid w:val="00E83407"/>
    <w:rsid w:val="00E92A18"/>
    <w:rsid w:val="00EA139B"/>
    <w:rsid w:val="00EB679C"/>
    <w:rsid w:val="00F10235"/>
    <w:rsid w:val="00F23E87"/>
    <w:rsid w:val="00F3290E"/>
    <w:rsid w:val="00F41D76"/>
    <w:rsid w:val="00F67AE2"/>
    <w:rsid w:val="00F70F0C"/>
    <w:rsid w:val="00F764D0"/>
    <w:rsid w:val="00F77B09"/>
    <w:rsid w:val="00FA481E"/>
    <w:rsid w:val="00FE3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4057"/>
  <w15:chartTrackingRefBased/>
  <w15:docId w15:val="{7634765D-9FF1-4DCE-9D16-2C2A3754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20A"/>
  </w:style>
  <w:style w:type="paragraph" w:styleId="Footer">
    <w:name w:val="footer"/>
    <w:basedOn w:val="Normal"/>
    <w:link w:val="FooterChar"/>
    <w:uiPriority w:val="99"/>
    <w:unhideWhenUsed/>
    <w:rsid w:val="00BC7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20A"/>
  </w:style>
  <w:style w:type="character" w:styleId="Hyperlink">
    <w:name w:val="Hyperlink"/>
    <w:basedOn w:val="DefaultParagraphFont"/>
    <w:uiPriority w:val="99"/>
    <w:unhideWhenUsed/>
    <w:rsid w:val="00473371"/>
    <w:rPr>
      <w:color w:val="0563C1" w:themeColor="hyperlink"/>
      <w:u w:val="single"/>
    </w:rPr>
  </w:style>
  <w:style w:type="character" w:styleId="UnresolvedMention">
    <w:name w:val="Unresolved Mention"/>
    <w:basedOn w:val="DefaultParagraphFont"/>
    <w:uiPriority w:val="99"/>
    <w:semiHidden/>
    <w:unhideWhenUsed/>
    <w:rsid w:val="00473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5620">
      <w:bodyDiv w:val="1"/>
      <w:marLeft w:val="0"/>
      <w:marRight w:val="0"/>
      <w:marTop w:val="0"/>
      <w:marBottom w:val="0"/>
      <w:divBdr>
        <w:top w:val="none" w:sz="0" w:space="0" w:color="auto"/>
        <w:left w:val="none" w:sz="0" w:space="0" w:color="auto"/>
        <w:bottom w:val="none" w:sz="0" w:space="0" w:color="auto"/>
        <w:right w:val="none" w:sz="0" w:space="0" w:color="auto"/>
      </w:divBdr>
    </w:div>
    <w:div w:id="8898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214/cjrl.v11i3.8746" TargetMode="External"/><Relationship Id="rId13" Type="http://schemas.openxmlformats.org/officeDocument/2006/relationships/hyperlink" Target="https://doi.org/10.1080/22041451.2019.1641061" TargetMode="External"/><Relationship Id="rId18" Type="http://schemas.openxmlformats.org/officeDocument/2006/relationships/hyperlink" Target="https://eric.ed.gov/?id=EJ131516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latform.almanhal.com/Files/Articles/142851" TargetMode="External"/><Relationship Id="rId12" Type="http://schemas.openxmlformats.org/officeDocument/2006/relationships/hyperlink" Target="https://www.researchgate.net/profile/Ara-Eagan/publication/354602275_A_Plague_of_Dissent_The_Impact_of_COVID-19_on_the_United_States'_Black_Lives_Matter_BLM_Movement_in_2020/links/6141eede60f0fe3442619105/A-Plague-of-Dissent-The-Impact-of-COVID-19-on-the-United-States-Black-Lives-Matter-BLM-Movement-in-2020.pdf" TargetMode="External"/><Relationship Id="rId17" Type="http://schemas.openxmlformats.org/officeDocument/2006/relationships/hyperlink" Target="https://books.google.co.ke/books?id=aNRRCgAAQBAJ&amp;lpg=PP1&amp;ots=nIIaVXCRSE&amp;dq=Scott%2C%20W.%20R.%2C%20%26%20Davis%2C%20G.%20F.%20(2017).%20Organizations%20and%20organizing%3A%20Rational%2C%20natural%2C%20and%20open%20systems%20perspectives.%20Routledge.&amp;lr&amp;pg=PP1#v=onepage&amp;q&amp;f=false" TargetMode="External"/><Relationship Id="rId2" Type="http://schemas.openxmlformats.org/officeDocument/2006/relationships/styles" Target="styles.xml"/><Relationship Id="rId16" Type="http://schemas.openxmlformats.org/officeDocument/2006/relationships/hyperlink" Target="https://dspace.univ-adrar.edu.dz/jspui/handle/123456789/647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ycnet.apa.org/doi/10.1037/hop0000208" TargetMode="External"/><Relationship Id="rId5" Type="http://schemas.openxmlformats.org/officeDocument/2006/relationships/footnotes" Target="footnotes.xml"/><Relationship Id="rId15" Type="http://schemas.openxmlformats.org/officeDocument/2006/relationships/hyperlink" Target="https://doi.org/10.3390/su14116601" TargetMode="External"/><Relationship Id="rId10" Type="http://schemas.openxmlformats.org/officeDocument/2006/relationships/hyperlink" Target="https://doi.org/10.1002/jcop.2283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11/radm.12269" TargetMode="External"/><Relationship Id="rId14" Type="http://schemas.openxmlformats.org/officeDocument/2006/relationships/hyperlink" Target="https://www.proquest.com/openview/e8e4d998d0dc863b429735989817881b/1?pq-origsite=gscholar&amp;cbl=18750&amp;dis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16</Pages>
  <Words>3907</Words>
  <Characters>22273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82</cp:revision>
  <dcterms:created xsi:type="dcterms:W3CDTF">2023-08-13T11:23:00Z</dcterms:created>
  <dcterms:modified xsi:type="dcterms:W3CDTF">2023-08-13T13:28:00Z</dcterms:modified>
</cp:coreProperties>
</file>