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B63DC7" w:rsidRDefault="00B63DC7" w:rsidP="00F4415A">
      <w:pPr>
        <w:jc w:val="center"/>
        <w:rPr>
          <w:rFonts w:cstheme="minorHAnsi"/>
          <w:spacing w:val="-1"/>
          <w:sz w:val="56"/>
          <w:u w:val="single" w:color="000000"/>
        </w:rPr>
      </w:pPr>
    </w:p>
    <w:tbl>
      <w:tblPr>
        <w:tblStyle w:val="TableGrid"/>
        <w:tblW w:w="0" w:type="auto"/>
        <w:tblLook w:val="04A0" w:firstRow="1" w:lastRow="0" w:firstColumn="1" w:lastColumn="0" w:noHBand="0" w:noVBand="1"/>
      </w:tblPr>
      <w:tblGrid>
        <w:gridCol w:w="2628"/>
        <w:gridCol w:w="2250"/>
        <w:gridCol w:w="4698"/>
      </w:tblGrid>
      <w:tr w:rsidR="00B63DC7" w:rsidRPr="00B63DC7" w:rsidTr="00B63DC7">
        <w:tc>
          <w:tcPr>
            <w:tcW w:w="2628" w:type="dxa"/>
            <w:shd w:val="clear" w:color="auto" w:fill="D9D9D9" w:themeFill="background1" w:themeFillShade="D9"/>
          </w:tcPr>
          <w:p w:rsidR="00B63DC7" w:rsidRPr="00B63DC7" w:rsidRDefault="00B63DC7" w:rsidP="00B63DC7">
            <w:pPr>
              <w:spacing w:before="240"/>
              <w:jc w:val="center"/>
              <w:rPr>
                <w:b/>
                <w:color w:val="000000" w:themeColor="text1"/>
                <w:u w:color="000000"/>
              </w:rPr>
            </w:pPr>
            <w:r w:rsidRPr="00B63DC7">
              <w:rPr>
                <w:b/>
                <w:color w:val="000000" w:themeColor="text1"/>
                <w:u w:color="000000"/>
              </w:rPr>
              <w:t>Name</w:t>
            </w:r>
          </w:p>
        </w:tc>
        <w:tc>
          <w:tcPr>
            <w:tcW w:w="2250" w:type="dxa"/>
            <w:shd w:val="clear" w:color="auto" w:fill="D9D9D9" w:themeFill="background1" w:themeFillShade="D9"/>
          </w:tcPr>
          <w:p w:rsidR="00B63DC7" w:rsidRPr="00B63DC7" w:rsidRDefault="00B63DC7" w:rsidP="00B63DC7">
            <w:pPr>
              <w:spacing w:before="240"/>
              <w:jc w:val="center"/>
              <w:rPr>
                <w:b/>
                <w:color w:val="000000" w:themeColor="text1"/>
                <w:u w:color="000000"/>
              </w:rPr>
            </w:pPr>
            <w:r w:rsidRPr="00B63DC7">
              <w:rPr>
                <w:b/>
                <w:color w:val="000000" w:themeColor="text1"/>
                <w:u w:color="000000"/>
              </w:rPr>
              <w:t>Role</w:t>
            </w:r>
          </w:p>
        </w:tc>
        <w:tc>
          <w:tcPr>
            <w:tcW w:w="4698" w:type="dxa"/>
            <w:shd w:val="clear" w:color="auto" w:fill="D9D9D9" w:themeFill="background1" w:themeFillShade="D9"/>
          </w:tcPr>
          <w:p w:rsidR="00B63DC7" w:rsidRPr="00B63DC7" w:rsidRDefault="00B63DC7" w:rsidP="00B63DC7">
            <w:pPr>
              <w:spacing w:before="240"/>
              <w:jc w:val="center"/>
              <w:rPr>
                <w:b/>
                <w:color w:val="000000" w:themeColor="text1"/>
                <w:u w:color="000000"/>
              </w:rPr>
            </w:pPr>
            <w:r w:rsidRPr="00B63DC7">
              <w:rPr>
                <w:b/>
                <w:color w:val="000000" w:themeColor="text1"/>
                <w:u w:color="000000"/>
              </w:rPr>
              <w:t>Signature</w:t>
            </w: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r w:rsidR="00B63DC7" w:rsidRPr="00B63DC7" w:rsidTr="00B63DC7">
        <w:tc>
          <w:tcPr>
            <w:tcW w:w="2628" w:type="dxa"/>
          </w:tcPr>
          <w:p w:rsidR="00B63DC7" w:rsidRPr="00B63DC7" w:rsidRDefault="00B63DC7" w:rsidP="00B63DC7">
            <w:pPr>
              <w:spacing w:before="240"/>
              <w:rPr>
                <w:u w:color="000000"/>
              </w:rPr>
            </w:pPr>
          </w:p>
        </w:tc>
        <w:tc>
          <w:tcPr>
            <w:tcW w:w="2250" w:type="dxa"/>
          </w:tcPr>
          <w:p w:rsidR="00B63DC7" w:rsidRPr="00B63DC7" w:rsidRDefault="00B63DC7" w:rsidP="00B63DC7">
            <w:pPr>
              <w:spacing w:before="240"/>
              <w:rPr>
                <w:u w:color="000000"/>
              </w:rPr>
            </w:pPr>
          </w:p>
        </w:tc>
        <w:tc>
          <w:tcPr>
            <w:tcW w:w="4698" w:type="dxa"/>
          </w:tcPr>
          <w:p w:rsidR="00B63DC7" w:rsidRPr="00B63DC7" w:rsidRDefault="00B63DC7" w:rsidP="00B63DC7">
            <w:pPr>
              <w:spacing w:before="240"/>
              <w:rPr>
                <w:u w:color="000000"/>
              </w:rPr>
            </w:pPr>
          </w:p>
        </w:tc>
      </w:tr>
    </w:tbl>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C12E05">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C12E05">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C12E05">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C12E05">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Pr="004673A0"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785FB3" w:rsidRPr="004673A0" w:rsidRDefault="00785FB3" w:rsidP="00785FB3">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785FB3" w:rsidRPr="004673A0" w:rsidRDefault="00785FB3" w:rsidP="00785FB3">
      <w:pPr>
        <w:pStyle w:val="Heading2"/>
        <w:rPr>
          <w:rFonts w:cstheme="minorHAnsi"/>
        </w:rPr>
      </w:pPr>
      <w:bookmarkStart w:id="6" w:name="_Toc432621789"/>
      <w:r w:rsidRPr="004673A0">
        <w:rPr>
          <w:rFonts w:cstheme="minorHAnsi"/>
        </w:rPr>
        <w:t>Document overview</w:t>
      </w:r>
      <w:bookmarkEnd w:id="6"/>
    </w:p>
    <w:p w:rsidR="00785FB3" w:rsidRPr="004673A0"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7" w:name="2._Referenced_documents"/>
      <w:bookmarkEnd w:id="7"/>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785FB3" w:rsidRPr="004673A0" w:rsidRDefault="00785FB3" w:rsidP="00785FB3">
      <w:pPr>
        <w:pStyle w:val="BodyText"/>
        <w:tabs>
          <w:tab w:val="left" w:pos="480"/>
        </w:tabs>
        <w:spacing w:line="245" w:lineRule="auto"/>
        <w:ind w:left="120" w:right="117"/>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785FB3" w:rsidRPr="004673A0" w:rsidRDefault="00785FB3" w:rsidP="00785FB3">
      <w:pPr>
        <w:pStyle w:val="Heading1"/>
        <w:rPr>
          <w:rFonts w:asciiTheme="minorHAnsi" w:hAnsiTheme="minorHAnsi" w:cstheme="minorHAnsi"/>
        </w:rPr>
      </w:pPr>
      <w:bookmarkStart w:id="9" w:name="3._CSCI-wide_design_decisions"/>
      <w:bookmarkStart w:id="10" w:name="_Toc432621791"/>
      <w:bookmarkEnd w:id="9"/>
      <w:r w:rsidRPr="004673A0">
        <w:rPr>
          <w:rFonts w:asciiTheme="minorHAnsi" w:hAnsiTheme="minorHAnsi" w:cstheme="minorHAnsi"/>
        </w:rPr>
        <w:t>CSCI-wide design decisions</w:t>
      </w:r>
      <w:bookmarkEnd w:id="10"/>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lastRenderedPageBreak/>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proofErr w:type="spellStart"/>
      <w:r w:rsidRPr="004673A0">
        <w:rPr>
          <w:rFonts w:cstheme="minorHAnsi"/>
        </w:rPr>
        <w:t>unallowed</w:t>
      </w:r>
      <w:proofErr w:type="spellEnd"/>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Pr="004673A0" w:rsidRDefault="00785FB3" w:rsidP="00785FB3">
      <w:pPr>
        <w:spacing w:line="245" w:lineRule="auto"/>
        <w:rPr>
          <w:rFonts w:cstheme="minorHAnsi"/>
        </w:rPr>
        <w:sectPr w:rsidR="00785FB3" w:rsidRPr="004673A0" w:rsidSect="00785FB3">
          <w:headerReference w:type="default" r:id="rId8"/>
          <w:type w:val="continuous"/>
          <w:pgSz w:w="12240" w:h="15840" w:code="1"/>
          <w:pgMar w:top="1440" w:right="1440" w:bottom="1440" w:left="1440" w:header="67" w:footer="0" w:gutter="0"/>
          <w:cols w:space="720"/>
          <w:docGrid w:linePitch="299"/>
        </w:sectPr>
      </w:pPr>
    </w:p>
    <w:p w:rsidR="00785FB3" w:rsidRPr="004673A0" w:rsidRDefault="00785FB3" w:rsidP="00785FB3">
      <w:pPr>
        <w:pStyle w:val="Heading1"/>
        <w:rPr>
          <w:rFonts w:asciiTheme="minorHAnsi" w:hAnsiTheme="minorHAnsi" w:cstheme="minorHAnsi"/>
        </w:rPr>
      </w:pPr>
      <w:bookmarkStart w:id="11" w:name="4._CSCI_architectural_design"/>
      <w:bookmarkStart w:id="12" w:name="_bookmark0"/>
      <w:bookmarkStart w:id="13" w:name="_Toc432621792"/>
      <w:bookmarkEnd w:id="11"/>
      <w:bookmarkEnd w:id="12"/>
      <w:r w:rsidRPr="004673A0">
        <w:rPr>
          <w:rFonts w:asciiTheme="minorHAnsi" w:hAnsiTheme="minorHAnsi" w:cstheme="minorHAnsi"/>
        </w:rPr>
        <w:t>CSCI architectural design</w:t>
      </w:r>
      <w:bookmarkEnd w:id="13"/>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4" w:name="4.1_CSCI_components"/>
      <w:bookmarkStart w:id="15" w:name="_bookmark1"/>
      <w:bookmarkStart w:id="16" w:name="_Toc432621793"/>
      <w:bookmarkEnd w:id="14"/>
      <w:bookmarkEnd w:id="15"/>
      <w:r w:rsidRPr="004673A0">
        <w:rPr>
          <w:rFonts w:cstheme="minorHAnsi"/>
        </w:rPr>
        <w:t>CSCI components</w:t>
      </w:r>
      <w:bookmarkEnd w:id="16"/>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785FB3" w:rsidRPr="004673A0"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bookmarkStart w:id="17" w:name="_bookmark2"/>
      <w:bookmarkEnd w:id="17"/>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r w:rsidRPr="004673A0">
          <w:rPr>
            <w:rFonts w:cstheme="minorHAnsi"/>
          </w:rPr>
          <w:t>6.a.)</w:t>
        </w:r>
      </w:hyperlink>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lastRenderedPageBreak/>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785FB3" w:rsidRPr="004673A0" w:rsidRDefault="00785FB3" w:rsidP="00785FB3">
      <w:pPr>
        <w:spacing w:line="245" w:lineRule="auto"/>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Pr="004673A0"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785FB3" w:rsidRPr="004673A0" w:rsidRDefault="00785FB3" w:rsidP="00A56EE1">
      <w:pPr>
        <w:pStyle w:val="Heading2"/>
      </w:pPr>
      <w:bookmarkStart w:id="18" w:name="4.2_Concept_of_execution"/>
      <w:bookmarkStart w:id="19" w:name="_Toc432621794"/>
      <w:bookmarkEnd w:id="18"/>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19"/>
    </w:p>
    <w:p w:rsidR="00785FB3" w:rsidRPr="004673A0"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785FB3" w:rsidRPr="004673A0" w:rsidRDefault="00785FB3" w:rsidP="00A56EE1">
      <w:pPr>
        <w:pStyle w:val="Heading2"/>
      </w:pPr>
      <w:bookmarkStart w:id="20" w:name="4.3_Interface_design"/>
      <w:bookmarkStart w:id="21" w:name="4.3.1_Interface_identification_and_diagr"/>
      <w:bookmarkStart w:id="22" w:name="_Toc432621795"/>
      <w:bookmarkEnd w:id="20"/>
      <w:bookmarkEnd w:id="21"/>
      <w:r w:rsidRPr="004673A0">
        <w:t>Interface design</w:t>
      </w:r>
      <w:bookmarkEnd w:id="22"/>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3" w:name="_Toc432621796"/>
      <w:r w:rsidRPr="004673A0">
        <w:rPr>
          <w:rFonts w:cstheme="minorHAnsi"/>
        </w:rPr>
        <w:lastRenderedPageBreak/>
        <w:t>Interface identification and diagrams</w:t>
      </w:r>
      <w:bookmarkEnd w:id="23"/>
    </w:p>
    <w:p w:rsidR="00785FB3" w:rsidRPr="004673A0"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785FB3" w:rsidRPr="004673A0" w:rsidRDefault="00785FB3" w:rsidP="00785FB3">
      <w:pPr>
        <w:pStyle w:val="Heading3"/>
        <w:rPr>
          <w:rFonts w:cstheme="minorHAnsi"/>
        </w:rPr>
      </w:pPr>
      <w:bookmarkStart w:id="24" w:name="4.3.x_(Project-unique_identifier_of_inte"/>
      <w:bookmarkStart w:id="25" w:name="_bookmark3"/>
      <w:bookmarkStart w:id="26" w:name="_Toc432621797"/>
      <w:bookmarkEnd w:id="24"/>
      <w:bookmarkEnd w:id="25"/>
      <w:r w:rsidRPr="004673A0">
        <w:rPr>
          <w:rFonts w:cstheme="minorHAnsi"/>
        </w:rPr>
        <w:t>(Project-unique identifier of interface)</w:t>
      </w:r>
      <w:bookmarkEnd w:id="26"/>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lastRenderedPageBreak/>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Pr="004673A0" w:rsidRDefault="00785FB3" w:rsidP="00F4415A">
      <w:pPr>
        <w:pStyle w:val="BodyText"/>
        <w:widowControl w:val="0"/>
        <w:numPr>
          <w:ilvl w:val="3"/>
          <w:numId w:val="28"/>
        </w:numPr>
        <w:tabs>
          <w:tab w:val="left" w:pos="840"/>
        </w:tabs>
        <w:spacing w:after="0" w:line="245" w:lineRule="auto"/>
        <w:ind w:left="839" w:right="117"/>
        <w:rPr>
          <w:rFonts w:cstheme="minorHAnsi"/>
        </w:rPr>
      </w:pPr>
      <w:r w:rsidRPr="004673A0">
        <w:rPr>
          <w:rFonts w:cstheme="minorHAnsi"/>
        </w:rPr>
        <w:t xml:space="preserve">Other </w:t>
      </w:r>
      <w:r w:rsidRPr="004673A0">
        <w:rPr>
          <w:rFonts w:cstheme="minorHAnsi"/>
          <w:spacing w:val="40"/>
        </w:rPr>
        <w:t xml:space="preserve"> </w:t>
      </w:r>
      <w:r w:rsidRPr="004673A0">
        <w:rPr>
          <w:rFonts w:cstheme="minorHAnsi"/>
        </w:rPr>
        <w:t xml:space="preserve">characteristics,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785FB3" w:rsidRPr="004673A0" w:rsidRDefault="00785FB3" w:rsidP="00785FB3">
      <w:pPr>
        <w:pStyle w:val="Heading1"/>
        <w:rPr>
          <w:rFonts w:asciiTheme="minorHAnsi" w:hAnsiTheme="minorHAnsi" w:cstheme="minorHAnsi"/>
        </w:rPr>
      </w:pPr>
      <w:bookmarkStart w:id="27" w:name="5._CSCI_detailed_design"/>
      <w:bookmarkStart w:id="28" w:name="_bookmark4"/>
      <w:bookmarkStart w:id="29" w:name="_Toc432621798"/>
      <w:bookmarkEnd w:id="27"/>
      <w:bookmarkEnd w:id="28"/>
      <w:r w:rsidRPr="004673A0">
        <w:rPr>
          <w:rFonts w:asciiTheme="minorHAnsi" w:hAnsiTheme="minorHAnsi" w:cstheme="minorHAnsi"/>
        </w:rPr>
        <w:t>CSCI detailed design</w:t>
      </w:r>
      <w:bookmarkEnd w:id="29"/>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lastRenderedPageBreak/>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0" w:name="5.x_(Project-unique_identifier_of_a_soft"/>
      <w:bookmarkStart w:id="31" w:name="_Toc432621799"/>
      <w:bookmarkEnd w:id="30"/>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1"/>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lastRenderedPageBreak/>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Pr="004673A0" w:rsidRDefault="00785FB3" w:rsidP="00785FB3">
      <w:pPr>
        <w:spacing w:before="7"/>
        <w:rPr>
          <w:rFonts w:eastAsia="Arial" w:cstheme="minorHAnsi"/>
          <w:sz w:val="15"/>
          <w:szCs w:val="15"/>
        </w:rPr>
      </w:pPr>
    </w:p>
    <w:p w:rsidR="00A56EE1" w:rsidRPr="00A56EE1" w:rsidRDefault="00785FB3" w:rsidP="00A56EE1">
      <w:pPr>
        <w:pStyle w:val="Heading1"/>
      </w:pPr>
      <w:bookmarkStart w:id="32" w:name="6._Requirements_traceability"/>
      <w:bookmarkStart w:id="33" w:name="_bookmark5"/>
      <w:bookmarkStart w:id="34" w:name="_Toc432621800"/>
      <w:bookmarkEnd w:id="32"/>
      <w:bookmarkEnd w:id="33"/>
      <w:r w:rsidRPr="004673A0">
        <w:rPr>
          <w:u w:color="000000"/>
        </w:rPr>
        <w:t>Requirements</w:t>
      </w:r>
      <w:r w:rsidRPr="004673A0">
        <w:rPr>
          <w:spacing w:val="12"/>
          <w:u w:color="000000"/>
        </w:rPr>
        <w:t xml:space="preserve"> </w:t>
      </w:r>
      <w:r w:rsidRPr="004673A0">
        <w:rPr>
          <w:spacing w:val="-1"/>
          <w:u w:color="000000"/>
        </w:rPr>
        <w:t>traceability</w:t>
      </w:r>
      <w:bookmarkEnd w:id="34"/>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Pr="004673A0"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785FB3" w:rsidRPr="004673A0" w:rsidRDefault="00785FB3" w:rsidP="00785FB3">
      <w:pPr>
        <w:pStyle w:val="Heading1"/>
        <w:rPr>
          <w:rFonts w:asciiTheme="minorHAnsi" w:hAnsiTheme="minorHAnsi" w:cstheme="minorHAnsi"/>
        </w:rPr>
      </w:pPr>
      <w:bookmarkStart w:id="35" w:name="7._Notes"/>
      <w:bookmarkStart w:id="36" w:name="A._Appendixes"/>
      <w:bookmarkStart w:id="37" w:name="_Toc432621801"/>
      <w:bookmarkStart w:id="38" w:name="_GoBack"/>
      <w:bookmarkEnd w:id="35"/>
      <w:bookmarkEnd w:id="36"/>
      <w:bookmarkEnd w:id="38"/>
      <w:r w:rsidRPr="004673A0">
        <w:rPr>
          <w:rFonts w:asciiTheme="minorHAnsi" w:hAnsiTheme="minorHAnsi" w:cstheme="minorHAnsi"/>
        </w:rPr>
        <w:t>Notes</w:t>
      </w:r>
      <w:bookmarkEnd w:id="37"/>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39" w:name="_Toc432621802"/>
      <w:r w:rsidRPr="004673A0">
        <w:rPr>
          <w:rFonts w:asciiTheme="minorHAnsi" w:hAnsiTheme="minorHAnsi" w:cstheme="minorHAnsi"/>
        </w:rPr>
        <w:lastRenderedPageBreak/>
        <w:t>Appendixes</w:t>
      </w:r>
      <w:bookmarkEnd w:id="39"/>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r w:rsidRPr="004673A0">
        <w:rPr>
          <w:rFonts w:cstheme="minorHAnsi"/>
        </w:rPr>
        <w:t>i.</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E05" w:rsidRDefault="00C12E05">
      <w:pPr>
        <w:spacing w:after="0"/>
      </w:pPr>
      <w:r>
        <w:separator/>
      </w:r>
    </w:p>
  </w:endnote>
  <w:endnote w:type="continuationSeparator" w:id="0">
    <w:p w:rsidR="00C12E05" w:rsidRDefault="00C1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E05" w:rsidRDefault="00C12E05">
      <w:pPr>
        <w:spacing w:after="0"/>
      </w:pPr>
      <w:r>
        <w:separator/>
      </w:r>
    </w:p>
  </w:footnote>
  <w:footnote w:type="continuationSeparator" w:id="0">
    <w:p w:rsidR="00C12E05" w:rsidRDefault="00C12E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B3" w:rsidRDefault="00785FB3">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281A5B"/>
    <w:rsid w:val="004673A0"/>
    <w:rsid w:val="00514775"/>
    <w:rsid w:val="005E0421"/>
    <w:rsid w:val="0066538D"/>
    <w:rsid w:val="006751E8"/>
    <w:rsid w:val="006932B8"/>
    <w:rsid w:val="00766050"/>
    <w:rsid w:val="00785FB3"/>
    <w:rsid w:val="00822C8E"/>
    <w:rsid w:val="008A5190"/>
    <w:rsid w:val="0094537B"/>
    <w:rsid w:val="00A244F5"/>
    <w:rsid w:val="00A56EE1"/>
    <w:rsid w:val="00B0302C"/>
    <w:rsid w:val="00B63DC7"/>
    <w:rsid w:val="00C12E05"/>
    <w:rsid w:val="00C62DA3"/>
    <w:rsid w:val="00DA2651"/>
    <w:rsid w:val="00E86BDE"/>
    <w:rsid w:val="00F40365"/>
    <w:rsid w:val="00F4415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15BA"/>
  <w15:docId w15:val="{EE7633A6-1921-461D-86E9-5C9C786F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0A0F0-1090-4C64-AA18-992F547E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9</cp:revision>
  <dcterms:created xsi:type="dcterms:W3CDTF">2015-10-15T00:32:00Z</dcterms:created>
  <dcterms:modified xsi:type="dcterms:W3CDTF">2018-02-27T04:17:00Z</dcterms:modified>
</cp:coreProperties>
</file>