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The Way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Mission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 the Way facilitates the collaboration of schools, companies, and nonprofits to: (1) Offer students advanced computer science training and real-world job experiences working on projects that benefit nonprofits; (2) Increase certified computer science teachers; and (3) Contribute to the technology talent base.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the Way model includes: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access to real-world job experience – In addition to an advanced course that may earn post-secondary credits, students get experience working collaboratively on a project that benefits a nonprofit, culminating in a presentation to business leaders.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Companies are part of the solution – Companies invest in education, make technology more accessible to nonprofits, offer their employees a meaningful volunteer experience, and contribute to the talent pipeline.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Increasing certified computer science teachers – Support and training for computer science teacher certification increase the availability and quality of high school computer science programs.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High school students in Greater Milwaukee have access to high-quality computer science education and real-world job experiences, positioning them for success in technology-related fields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