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6774" w14:textId="3676FD06" w:rsidR="00AA40CE" w:rsidRDefault="00AA40CE" w:rsidP="008372FB">
      <w:pPr>
        <w:rPr>
          <w:rFonts w:ascii="Times New Roman" w:hAnsi="Times New Roman" w:cs="Times New Roman"/>
          <w:sz w:val="24"/>
          <w:szCs w:val="24"/>
        </w:rPr>
      </w:pPr>
      <w:r w:rsidRPr="00765064">
        <w:rPr>
          <w:rFonts w:ascii="Times New Roman" w:eastAsia="Times New Roman" w:hAnsi="Times New Roman" w:cs="Times New Roman"/>
          <w:color w:val="222222"/>
          <w:sz w:val="24"/>
          <w:szCs w:val="24"/>
          <w:shd w:val="clear" w:color="auto" w:fill="FFFFFF"/>
        </w:rPr>
        <w:t xml:space="preserve">Thank you for the opportunity to revise our manuscript for consideration in </w:t>
      </w:r>
      <w:r>
        <w:rPr>
          <w:rFonts w:ascii="Times New Roman" w:eastAsia="Times New Roman" w:hAnsi="Times New Roman" w:cs="Times New Roman"/>
          <w:i/>
          <w:iCs/>
          <w:color w:val="222222"/>
          <w:sz w:val="24"/>
          <w:szCs w:val="24"/>
          <w:shd w:val="clear" w:color="auto" w:fill="FFFFFF"/>
        </w:rPr>
        <w:t>American Journal of Epidemiology</w:t>
      </w:r>
      <w:r w:rsidRPr="00765064">
        <w:rPr>
          <w:rFonts w:ascii="Times New Roman" w:eastAsia="Times New Roman" w:hAnsi="Times New Roman" w:cs="Times New Roman"/>
          <w:color w:val="222222"/>
          <w:sz w:val="24"/>
          <w:szCs w:val="24"/>
          <w:shd w:val="clear" w:color="auto" w:fill="FFFFFF"/>
        </w:rPr>
        <w:t xml:space="preserve">. We found the comments to be incredibly helpful, and we have substantially revised our article accordingly. This revision has involved changes </w:t>
      </w:r>
      <w:r w:rsidR="00E64C48">
        <w:rPr>
          <w:rFonts w:ascii="Times New Roman" w:eastAsia="Times New Roman" w:hAnsi="Times New Roman" w:cs="Times New Roman"/>
          <w:color w:val="222222"/>
          <w:sz w:val="24"/>
          <w:szCs w:val="24"/>
          <w:shd w:val="clear" w:color="auto" w:fill="FFFFFF"/>
        </w:rPr>
        <w:t xml:space="preserve">to the manuscript text </w:t>
      </w:r>
      <w:r w:rsidRPr="00765064">
        <w:rPr>
          <w:rFonts w:ascii="Times New Roman" w:eastAsia="Times New Roman" w:hAnsi="Times New Roman" w:cs="Times New Roman"/>
          <w:color w:val="222222"/>
          <w:sz w:val="24"/>
          <w:szCs w:val="24"/>
          <w:shd w:val="clear" w:color="auto" w:fill="FFFFFF"/>
        </w:rPr>
        <w:t xml:space="preserve">as well as </w:t>
      </w:r>
      <w:r w:rsidR="00E64C48">
        <w:rPr>
          <w:rFonts w:ascii="Times New Roman" w:eastAsia="Times New Roman" w:hAnsi="Times New Roman" w:cs="Times New Roman"/>
          <w:color w:val="222222"/>
          <w:sz w:val="24"/>
          <w:szCs w:val="24"/>
          <w:shd w:val="clear" w:color="auto" w:fill="FFFFFF"/>
        </w:rPr>
        <w:t xml:space="preserve">addition of </w:t>
      </w:r>
      <w:r w:rsidRPr="00765064">
        <w:rPr>
          <w:rFonts w:ascii="Times New Roman" w:eastAsia="Times New Roman" w:hAnsi="Times New Roman" w:cs="Times New Roman"/>
          <w:color w:val="222222"/>
          <w:sz w:val="24"/>
          <w:szCs w:val="24"/>
          <w:shd w:val="clear" w:color="auto" w:fill="FFFFFF"/>
        </w:rPr>
        <w:t>new</w:t>
      </w:r>
      <w:r>
        <w:rPr>
          <w:rFonts w:ascii="Times New Roman" w:eastAsia="Times New Roman" w:hAnsi="Times New Roman" w:cs="Times New Roman"/>
          <w:color w:val="222222"/>
          <w:sz w:val="24"/>
          <w:szCs w:val="24"/>
          <w:shd w:val="clear" w:color="auto" w:fill="FFFFFF"/>
        </w:rPr>
        <w:t xml:space="preserve"> sensitivity</w:t>
      </w:r>
      <w:r w:rsidRPr="00765064">
        <w:rPr>
          <w:rFonts w:ascii="Times New Roman" w:eastAsia="Times New Roman" w:hAnsi="Times New Roman" w:cs="Times New Roman"/>
          <w:color w:val="222222"/>
          <w:sz w:val="24"/>
          <w:szCs w:val="24"/>
          <w:shd w:val="clear" w:color="auto" w:fill="FFFFFF"/>
        </w:rPr>
        <w:t xml:space="preserve"> analyses. Below, we list the Reviewers’ advice followed by</w:t>
      </w:r>
      <w:r w:rsidR="00B10432">
        <w:rPr>
          <w:rFonts w:ascii="Times New Roman" w:eastAsia="Times New Roman" w:hAnsi="Times New Roman" w:cs="Times New Roman"/>
          <w:color w:val="222222"/>
          <w:sz w:val="24"/>
          <w:szCs w:val="24"/>
          <w:shd w:val="clear" w:color="auto" w:fill="FFFFFF"/>
        </w:rPr>
        <w:t xml:space="preserve"> a detailed description of</w:t>
      </w:r>
      <w:r w:rsidRPr="00765064">
        <w:rPr>
          <w:rFonts w:ascii="Times New Roman" w:eastAsia="Times New Roman" w:hAnsi="Times New Roman" w:cs="Times New Roman"/>
          <w:color w:val="222222"/>
          <w:sz w:val="24"/>
          <w:szCs w:val="24"/>
          <w:shd w:val="clear" w:color="auto" w:fill="FFFFFF"/>
        </w:rPr>
        <w:t xml:space="preserve"> what we did</w:t>
      </w:r>
      <w:r w:rsidR="00D83CDA">
        <w:rPr>
          <w:rFonts w:ascii="Times New Roman" w:eastAsia="Times New Roman" w:hAnsi="Times New Roman" w:cs="Times New Roman"/>
          <w:color w:val="222222"/>
          <w:sz w:val="24"/>
          <w:szCs w:val="24"/>
          <w:shd w:val="clear" w:color="auto" w:fill="FFFFFF"/>
        </w:rPr>
        <w:t xml:space="preserve"> to address each comment</w:t>
      </w:r>
      <w:r w:rsidR="00B10432">
        <w:rPr>
          <w:rFonts w:ascii="Times New Roman" w:eastAsia="Times New Roman" w:hAnsi="Times New Roman" w:cs="Times New Roman"/>
          <w:color w:val="222222"/>
          <w:sz w:val="24"/>
          <w:szCs w:val="24"/>
          <w:shd w:val="clear" w:color="auto" w:fill="FFFFFF"/>
        </w:rPr>
        <w:t xml:space="preserve"> (in italics)</w:t>
      </w:r>
      <w:r w:rsidR="00D83CDA">
        <w:rPr>
          <w:rFonts w:ascii="Times New Roman" w:eastAsia="Times New Roman" w:hAnsi="Times New Roman" w:cs="Times New Roman"/>
          <w:color w:val="222222"/>
          <w:sz w:val="24"/>
          <w:szCs w:val="24"/>
          <w:shd w:val="clear" w:color="auto" w:fill="FFFFFF"/>
        </w:rPr>
        <w:t>.</w:t>
      </w:r>
      <w:r w:rsidR="00B10432">
        <w:rPr>
          <w:rFonts w:ascii="Times New Roman" w:eastAsia="Times New Roman" w:hAnsi="Times New Roman" w:cs="Times New Roman"/>
          <w:color w:val="222222"/>
          <w:sz w:val="24"/>
          <w:szCs w:val="24"/>
          <w:shd w:val="clear" w:color="auto" w:fill="FFFFFF"/>
        </w:rPr>
        <w:t xml:space="preserve"> </w:t>
      </w:r>
    </w:p>
    <w:p w14:paraId="7D3AA720" w14:textId="77777777" w:rsidR="00AA40CE" w:rsidRDefault="00AA40CE" w:rsidP="008372FB">
      <w:pPr>
        <w:rPr>
          <w:rFonts w:ascii="Times New Roman" w:hAnsi="Times New Roman" w:cs="Times New Roman"/>
          <w:sz w:val="24"/>
          <w:szCs w:val="24"/>
        </w:rPr>
      </w:pPr>
    </w:p>
    <w:p w14:paraId="62EA3588" w14:textId="4609B391" w:rsidR="008372FB" w:rsidRPr="00D06F08"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Reviewer: 1</w:t>
      </w:r>
    </w:p>
    <w:p w14:paraId="0659273F" w14:textId="77777777" w:rsidR="008372FB" w:rsidRPr="00D06F08"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Comments to the Author</w:t>
      </w:r>
    </w:p>
    <w:p w14:paraId="25435C1A" w14:textId="77777777" w:rsidR="008372FB" w:rsidRPr="00D06F08"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The authors use a difference-in-differences approach to assess the impact of the Great Recession on explicit and proxy violence diagnoses for child maltreatment, intimate partner violence, elder abuse, and their combination in county-level Minnesota hospital data. Unexposed counties were defined as those less affected by the recession based on county-level foreclosure rates. The authors found no impact of the Great Recession on explicitly-identified violence, but did find an impact on proxy-identified violence for all outcomes.</w:t>
      </w:r>
    </w:p>
    <w:p w14:paraId="0B6AD74F" w14:textId="77777777" w:rsidR="008372FB" w:rsidRPr="00D06F08"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The use of hospital data is a strength of this study, providing a more objective measure of violence than in previous analyses that used official crime records or survey data. Using both proxy and explicit operationalizations of violence helps elucidate potential biases due to misclassification of injuries as unrelated to violence and is a helpful contribution to the literature. The sensitivity analyses are useful for addressing some of the concerns raised by the main analysis, in particular concerns about changes in county demographic distribution due to mobility. However, the lack of mortality data is a substantial weakness.</w:t>
      </w:r>
    </w:p>
    <w:p w14:paraId="5A25895A" w14:textId="77777777" w:rsidR="008372FB" w:rsidRPr="00D06F08"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There are a few points where additional detail or clarification would aid in interpretability of the results, and some of the methodological choices need further explanation and justification.</w:t>
      </w:r>
    </w:p>
    <w:p w14:paraId="6D132832" w14:textId="77777777" w:rsidR="008372FB" w:rsidRPr="00D06F08" w:rsidRDefault="008372FB" w:rsidP="008372FB">
      <w:pPr>
        <w:rPr>
          <w:rFonts w:ascii="Times New Roman" w:hAnsi="Times New Roman" w:cs="Times New Roman"/>
          <w:sz w:val="24"/>
          <w:szCs w:val="24"/>
        </w:rPr>
      </w:pPr>
    </w:p>
    <w:p w14:paraId="12F9F297" w14:textId="54F3A5CE" w:rsidR="008372FB" w:rsidRPr="00D06F08" w:rsidRDefault="008372FB" w:rsidP="002577F4">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Most importantly, it appears that injuries resulting in death are not included in these data. This creates a difficulty in interpretation, since more serious injuries (likely associated with worse violence) are more likely to be missing from the data. If possible, violence-related death data should be included. If such data are not available, an estimate of the magnitude of violence-related deaths relative to non-fatal violence-related injuries should be given in order to quantify the potential magnitude of the bias, and the authors should discuss the implications of the missing death data.</w:t>
      </w:r>
    </w:p>
    <w:p w14:paraId="222CBF8E" w14:textId="34E0F061" w:rsidR="00B96ABC" w:rsidRDefault="00B96ABC" w:rsidP="00B96ABC">
      <w:pPr>
        <w:ind w:left="720"/>
        <w:rPr>
          <w:rFonts w:ascii="Times New Roman" w:hAnsi="Times New Roman" w:cs="Times New Roman"/>
          <w:i/>
          <w:sz w:val="24"/>
          <w:szCs w:val="24"/>
        </w:rPr>
      </w:pPr>
      <w:r w:rsidRPr="00E73C3F">
        <w:rPr>
          <w:rFonts w:ascii="Times New Roman" w:hAnsi="Times New Roman" w:cs="Times New Roman"/>
          <w:i/>
          <w:sz w:val="24"/>
          <w:szCs w:val="24"/>
        </w:rPr>
        <w:t xml:space="preserve">Thank you for this insight. </w:t>
      </w:r>
      <w:r w:rsidR="00D65B1E">
        <w:rPr>
          <w:rFonts w:ascii="Times New Roman" w:hAnsi="Times New Roman" w:cs="Times New Roman"/>
          <w:i/>
          <w:sz w:val="24"/>
          <w:szCs w:val="24"/>
        </w:rPr>
        <w:t xml:space="preserve">We note that </w:t>
      </w:r>
      <w:r w:rsidR="00A55185" w:rsidRPr="00E73C3F">
        <w:rPr>
          <w:rFonts w:ascii="Times New Roman" w:hAnsi="Times New Roman" w:cs="Times New Roman"/>
          <w:i/>
          <w:sz w:val="24"/>
          <w:szCs w:val="24"/>
        </w:rPr>
        <w:t>t</w:t>
      </w:r>
      <w:r w:rsidRPr="00E73C3F">
        <w:rPr>
          <w:rFonts w:ascii="Times New Roman" w:hAnsi="Times New Roman" w:cs="Times New Roman"/>
          <w:i/>
          <w:sz w:val="24"/>
          <w:szCs w:val="24"/>
        </w:rPr>
        <w:t xml:space="preserve">he hospital data does include </w:t>
      </w:r>
      <w:r w:rsidR="00A55185" w:rsidRPr="00E73C3F">
        <w:rPr>
          <w:rFonts w:ascii="Times New Roman" w:hAnsi="Times New Roman" w:cs="Times New Roman"/>
          <w:i/>
          <w:sz w:val="24"/>
          <w:szCs w:val="24"/>
        </w:rPr>
        <w:t xml:space="preserve">violence-related deaths if </w:t>
      </w:r>
      <w:r w:rsidR="00690496" w:rsidRPr="00E73C3F">
        <w:rPr>
          <w:rFonts w:ascii="Times New Roman" w:hAnsi="Times New Roman" w:cs="Times New Roman"/>
          <w:i/>
          <w:sz w:val="24"/>
          <w:szCs w:val="24"/>
        </w:rPr>
        <w:t xml:space="preserve">the death occurred in </w:t>
      </w:r>
      <w:r w:rsidR="00A55185" w:rsidRPr="00E73C3F">
        <w:rPr>
          <w:rFonts w:ascii="Times New Roman" w:hAnsi="Times New Roman" w:cs="Times New Roman"/>
          <w:i/>
          <w:sz w:val="24"/>
          <w:szCs w:val="24"/>
        </w:rPr>
        <w:t>the hospital</w:t>
      </w:r>
      <w:r w:rsidR="00E94CCB" w:rsidRPr="00E73C3F">
        <w:rPr>
          <w:rFonts w:ascii="Times New Roman" w:hAnsi="Times New Roman" w:cs="Times New Roman"/>
          <w:i/>
          <w:sz w:val="24"/>
          <w:szCs w:val="24"/>
        </w:rPr>
        <w:t xml:space="preserve">, which make up a </w:t>
      </w:r>
      <w:r w:rsidR="00756C6C" w:rsidRPr="00E73C3F">
        <w:rPr>
          <w:rFonts w:ascii="Times New Roman" w:hAnsi="Times New Roman" w:cs="Times New Roman"/>
          <w:i/>
          <w:sz w:val="24"/>
          <w:szCs w:val="24"/>
        </w:rPr>
        <w:t xml:space="preserve">large proportion </w:t>
      </w:r>
      <w:r w:rsidR="00756C6C">
        <w:rPr>
          <w:rFonts w:ascii="Times New Roman" w:hAnsi="Times New Roman" w:cs="Times New Roman"/>
          <w:i/>
          <w:sz w:val="24"/>
          <w:szCs w:val="24"/>
        </w:rPr>
        <w:t>death</w:t>
      </w:r>
      <w:r w:rsidR="00D65B1E">
        <w:rPr>
          <w:rFonts w:ascii="Times New Roman" w:hAnsi="Times New Roman" w:cs="Times New Roman"/>
          <w:i/>
          <w:sz w:val="24"/>
          <w:szCs w:val="24"/>
        </w:rPr>
        <w:t xml:space="preserve"> </w:t>
      </w:r>
      <w:r w:rsidR="00A55185" w:rsidRPr="00E73C3F">
        <w:rPr>
          <w:rFonts w:ascii="Times New Roman" w:hAnsi="Times New Roman" w:cs="Times New Roman"/>
          <w:i/>
          <w:sz w:val="24"/>
          <w:szCs w:val="24"/>
        </w:rPr>
        <w:t>due to violence</w:t>
      </w:r>
      <w:r w:rsidR="0097690E" w:rsidRPr="00E73C3F">
        <w:rPr>
          <w:rFonts w:ascii="Times New Roman" w:hAnsi="Times New Roman" w:cs="Times New Roman"/>
          <w:i/>
          <w:sz w:val="24"/>
          <w:szCs w:val="24"/>
        </w:rPr>
        <w:t>.</w:t>
      </w:r>
      <w:r w:rsidR="00B75199" w:rsidRPr="00E73C3F">
        <w:rPr>
          <w:rFonts w:ascii="Times New Roman" w:hAnsi="Times New Roman" w:cs="Times New Roman"/>
          <w:i/>
          <w:sz w:val="24"/>
          <w:szCs w:val="24"/>
          <w:vertAlign w:val="superscript"/>
        </w:rPr>
        <w:t>1</w:t>
      </w:r>
      <w:r w:rsidR="0097690E" w:rsidRPr="00E73C3F">
        <w:rPr>
          <w:rFonts w:ascii="Times New Roman" w:hAnsi="Times New Roman" w:cs="Times New Roman"/>
          <w:i/>
          <w:sz w:val="24"/>
          <w:szCs w:val="24"/>
        </w:rPr>
        <w:t xml:space="preserve"> </w:t>
      </w:r>
      <w:r w:rsidR="00D65B1E">
        <w:rPr>
          <w:rFonts w:ascii="Times New Roman" w:hAnsi="Times New Roman" w:cs="Times New Roman"/>
          <w:i/>
          <w:sz w:val="24"/>
          <w:szCs w:val="24"/>
        </w:rPr>
        <w:t>It is estimated that a</w:t>
      </w:r>
      <w:r w:rsidR="00AA40CE" w:rsidRPr="00E73C3F">
        <w:rPr>
          <w:rFonts w:ascii="Times New Roman" w:hAnsi="Times New Roman" w:cs="Times New Roman"/>
          <w:i/>
          <w:sz w:val="24"/>
          <w:szCs w:val="24"/>
        </w:rPr>
        <w:t>p</w:t>
      </w:r>
      <w:r w:rsidR="0097690E" w:rsidRPr="00E73C3F">
        <w:rPr>
          <w:rFonts w:ascii="Times New Roman" w:hAnsi="Times New Roman" w:cs="Times New Roman"/>
          <w:i/>
          <w:sz w:val="24"/>
          <w:szCs w:val="24"/>
        </w:rPr>
        <w:t>proximately 1% of assault</w:t>
      </w:r>
      <w:r w:rsidR="00263338" w:rsidRPr="00E73C3F">
        <w:rPr>
          <w:rFonts w:ascii="Times New Roman" w:hAnsi="Times New Roman" w:cs="Times New Roman"/>
          <w:i/>
          <w:sz w:val="24"/>
          <w:szCs w:val="24"/>
        </w:rPr>
        <w:t>s result in a death</w:t>
      </w:r>
      <w:r w:rsidR="00D65B1E">
        <w:rPr>
          <w:rFonts w:ascii="Times New Roman" w:hAnsi="Times New Roman" w:cs="Times New Roman"/>
          <w:i/>
          <w:sz w:val="24"/>
          <w:szCs w:val="24"/>
        </w:rPr>
        <w:t>,</w:t>
      </w:r>
      <w:r w:rsidR="00A56207" w:rsidRPr="00E73C3F">
        <w:rPr>
          <w:rFonts w:ascii="Times New Roman" w:hAnsi="Times New Roman" w:cs="Times New Roman"/>
          <w:i/>
          <w:sz w:val="24"/>
          <w:szCs w:val="24"/>
          <w:vertAlign w:val="superscript"/>
        </w:rPr>
        <w:t>2</w:t>
      </w:r>
      <w:r w:rsidR="00263338" w:rsidRPr="00E73C3F">
        <w:rPr>
          <w:rFonts w:ascii="Times New Roman" w:hAnsi="Times New Roman" w:cs="Times New Roman"/>
          <w:i/>
          <w:sz w:val="24"/>
          <w:szCs w:val="24"/>
        </w:rPr>
        <w:t xml:space="preserve"> </w:t>
      </w:r>
      <w:r w:rsidR="00D65B1E">
        <w:rPr>
          <w:rFonts w:ascii="Times New Roman" w:hAnsi="Times New Roman" w:cs="Times New Roman"/>
          <w:i/>
          <w:sz w:val="24"/>
          <w:szCs w:val="24"/>
        </w:rPr>
        <w:t>meaning our</w:t>
      </w:r>
      <w:r w:rsidR="00263338" w:rsidRPr="00E73C3F">
        <w:rPr>
          <w:rFonts w:ascii="Times New Roman" w:hAnsi="Times New Roman" w:cs="Times New Roman"/>
          <w:i/>
          <w:sz w:val="24"/>
          <w:szCs w:val="24"/>
        </w:rPr>
        <w:t xml:space="preserve"> study is missing less than one percent of </w:t>
      </w:r>
      <w:r w:rsidR="00D65B1E">
        <w:rPr>
          <w:rFonts w:ascii="Times New Roman" w:hAnsi="Times New Roman" w:cs="Times New Roman"/>
          <w:i/>
          <w:sz w:val="24"/>
          <w:szCs w:val="24"/>
        </w:rPr>
        <w:t xml:space="preserve">violence cases stemming from exclusion of non-hospital violence deaths. </w:t>
      </w:r>
      <w:r w:rsidR="00263338" w:rsidRPr="00E73C3F">
        <w:rPr>
          <w:rFonts w:ascii="Times New Roman" w:hAnsi="Times New Roman" w:cs="Times New Roman"/>
          <w:i/>
          <w:sz w:val="24"/>
          <w:szCs w:val="24"/>
        </w:rPr>
        <w:t xml:space="preserve"> </w:t>
      </w:r>
      <w:r w:rsidR="00D65B1E">
        <w:rPr>
          <w:rFonts w:ascii="Times New Roman" w:hAnsi="Times New Roman" w:cs="Times New Roman"/>
          <w:i/>
          <w:sz w:val="24"/>
          <w:szCs w:val="24"/>
        </w:rPr>
        <w:t>The small percentage of excluded cases</w:t>
      </w:r>
      <w:r w:rsidR="00263338" w:rsidRPr="00E73C3F">
        <w:rPr>
          <w:rFonts w:ascii="Times New Roman" w:hAnsi="Times New Roman" w:cs="Times New Roman"/>
          <w:i/>
          <w:sz w:val="24"/>
          <w:szCs w:val="24"/>
        </w:rPr>
        <w:t xml:space="preserve"> makes it unlikely that the addition of these data would change the results.  </w:t>
      </w:r>
      <w:r w:rsidRPr="00E73C3F">
        <w:rPr>
          <w:rFonts w:ascii="Times New Roman" w:hAnsi="Times New Roman" w:cs="Times New Roman"/>
          <w:i/>
          <w:sz w:val="24"/>
          <w:szCs w:val="24"/>
        </w:rPr>
        <w:t xml:space="preserve"> </w:t>
      </w:r>
    </w:p>
    <w:p w14:paraId="6A0B354A" w14:textId="14D3BF14" w:rsidR="00D65B1E" w:rsidRPr="00E73C3F" w:rsidRDefault="00D65B1E" w:rsidP="00B96ABC">
      <w:pPr>
        <w:ind w:left="720"/>
        <w:rPr>
          <w:rFonts w:ascii="Times New Roman" w:hAnsi="Times New Roman" w:cs="Times New Roman"/>
          <w:i/>
          <w:sz w:val="24"/>
          <w:szCs w:val="24"/>
        </w:rPr>
      </w:pPr>
      <w:r w:rsidRPr="00E73C3F">
        <w:rPr>
          <w:rFonts w:ascii="Times New Roman" w:hAnsi="Times New Roman" w:cs="Times New Roman"/>
          <w:i/>
          <w:sz w:val="24"/>
          <w:szCs w:val="24"/>
        </w:rPr>
        <w:t>We added a limitation in the discussion section to address this point</w:t>
      </w:r>
      <w:r>
        <w:rPr>
          <w:rFonts w:ascii="Times New Roman" w:hAnsi="Times New Roman" w:cs="Times New Roman"/>
          <w:i/>
          <w:sz w:val="24"/>
          <w:szCs w:val="24"/>
        </w:rPr>
        <w:t>:</w:t>
      </w:r>
    </w:p>
    <w:p w14:paraId="2B75B2B0" w14:textId="62B782E2" w:rsidR="00A47AB0" w:rsidRPr="00E73C3F" w:rsidRDefault="00D06F08" w:rsidP="00B96ABC">
      <w:pPr>
        <w:ind w:left="720"/>
        <w:rPr>
          <w:rFonts w:ascii="Times New Roman" w:hAnsi="Times New Roman" w:cs="Times New Roman"/>
          <w:i/>
          <w:sz w:val="24"/>
          <w:szCs w:val="24"/>
        </w:rPr>
      </w:pPr>
      <w:r w:rsidRPr="00E73C3F">
        <w:rPr>
          <w:rFonts w:ascii="Times New Roman" w:hAnsi="Times New Roman" w:cs="Times New Roman"/>
          <w:bCs/>
          <w:i/>
          <w:sz w:val="24"/>
          <w:szCs w:val="24"/>
          <w:highlight w:val="yellow"/>
        </w:rPr>
        <w:lastRenderedPageBreak/>
        <w:t>“</w:t>
      </w:r>
      <w:r w:rsidR="001E5A44" w:rsidRPr="00E73C3F">
        <w:rPr>
          <w:rFonts w:ascii="Times New Roman" w:hAnsi="Times New Roman" w:cs="Times New Roman"/>
          <w:bCs/>
          <w:i/>
          <w:sz w:val="24"/>
          <w:szCs w:val="24"/>
          <w:highlight w:val="yellow"/>
        </w:rPr>
        <w:t>Sixth</w:t>
      </w:r>
      <w:r w:rsidR="00A47AB0" w:rsidRPr="00E73C3F">
        <w:rPr>
          <w:rFonts w:ascii="Times New Roman" w:hAnsi="Times New Roman" w:cs="Times New Roman"/>
          <w:bCs/>
          <w:i/>
          <w:sz w:val="24"/>
          <w:szCs w:val="24"/>
          <w:highlight w:val="yellow"/>
        </w:rPr>
        <w:t>, this study does not include death-certificate data. Therefore, those that died due to violence outside the hospital were not included in the study. However, the proportion of those that die due to violence is approximately one percent, and, thus the addition of these data would likely not change the results of the study.</w:t>
      </w:r>
      <w:r w:rsidRPr="00E73C3F">
        <w:rPr>
          <w:rFonts w:ascii="Times New Roman" w:hAnsi="Times New Roman" w:cs="Times New Roman"/>
          <w:bCs/>
          <w:i/>
          <w:sz w:val="24"/>
          <w:szCs w:val="24"/>
          <w:highlight w:val="yellow"/>
        </w:rPr>
        <w:t>”</w:t>
      </w:r>
      <w:r w:rsidR="00A47AB0" w:rsidRPr="00E73C3F">
        <w:rPr>
          <w:rFonts w:ascii="Times New Roman" w:eastAsia="Times New Roman" w:hAnsi="Times New Roman" w:cs="Times New Roman"/>
          <w:i/>
          <w:sz w:val="24"/>
          <w:szCs w:val="24"/>
        </w:rPr>
        <w:t xml:space="preserve">    </w:t>
      </w:r>
    </w:p>
    <w:p w14:paraId="19DC380A" w14:textId="3AA2EA0C" w:rsidR="008372FB" w:rsidRPr="00D06F08" w:rsidRDefault="008372FB" w:rsidP="00354A69">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It’s unclear why the authors chose the median as the threshold for classifying counties as having high or low foreclosure rates. It would be helpful to show the results of an analysis excluding counties near the median value, since counties near the middle of the distribution may be similar enough that small random fluctuations in violence rates could have led to their classification in either group. Are the same patterns seen when comparing the top and bottom quartiles, or top and bottom 10% of counties?</w:t>
      </w:r>
    </w:p>
    <w:p w14:paraId="65A19583" w14:textId="045BE833" w:rsidR="00764606" w:rsidRDefault="000E3020" w:rsidP="00764606">
      <w:pPr>
        <w:ind w:left="720"/>
        <w:rPr>
          <w:rFonts w:ascii="Times New Roman" w:hAnsi="Times New Roman" w:cs="Times New Roman"/>
          <w:bCs/>
          <w:i/>
          <w:sz w:val="24"/>
          <w:szCs w:val="24"/>
        </w:rPr>
      </w:pPr>
      <w:r w:rsidRPr="005977DB">
        <w:rPr>
          <w:rFonts w:ascii="Times New Roman" w:hAnsi="Times New Roman" w:cs="Times New Roman"/>
          <w:i/>
          <w:sz w:val="24"/>
          <w:szCs w:val="24"/>
        </w:rPr>
        <w:t xml:space="preserve">Thank you for </w:t>
      </w:r>
      <w:r w:rsidR="00D65B1E">
        <w:rPr>
          <w:rFonts w:ascii="Times New Roman" w:hAnsi="Times New Roman" w:cs="Times New Roman"/>
          <w:i/>
          <w:sz w:val="24"/>
          <w:szCs w:val="24"/>
        </w:rPr>
        <w:t>this</w:t>
      </w:r>
      <w:r w:rsidR="00D65B1E" w:rsidRPr="005977DB">
        <w:rPr>
          <w:rFonts w:ascii="Times New Roman" w:hAnsi="Times New Roman" w:cs="Times New Roman"/>
          <w:i/>
          <w:sz w:val="24"/>
          <w:szCs w:val="24"/>
        </w:rPr>
        <w:t xml:space="preserve"> </w:t>
      </w:r>
      <w:r w:rsidRPr="005977DB">
        <w:rPr>
          <w:rFonts w:ascii="Times New Roman" w:hAnsi="Times New Roman" w:cs="Times New Roman"/>
          <w:i/>
          <w:sz w:val="24"/>
          <w:szCs w:val="24"/>
        </w:rPr>
        <w:t xml:space="preserve">comment. </w:t>
      </w:r>
      <w:r w:rsidR="00D65B1E">
        <w:rPr>
          <w:rFonts w:ascii="Times New Roman" w:hAnsi="Times New Roman" w:cs="Times New Roman"/>
          <w:i/>
          <w:sz w:val="24"/>
          <w:szCs w:val="24"/>
        </w:rPr>
        <w:t>In response to this concern, w</w:t>
      </w:r>
      <w:r w:rsidRPr="00756C6C">
        <w:rPr>
          <w:rFonts w:ascii="Times New Roman" w:hAnsi="Times New Roman" w:cs="Times New Roman"/>
          <w:i/>
          <w:sz w:val="24"/>
          <w:szCs w:val="24"/>
        </w:rPr>
        <w:t>e ran two additional sensitivity analys</w:t>
      </w:r>
      <w:r w:rsidR="00D84FC6" w:rsidRPr="00756C6C">
        <w:rPr>
          <w:rFonts w:ascii="Times New Roman" w:hAnsi="Times New Roman" w:cs="Times New Roman"/>
          <w:i/>
          <w:sz w:val="24"/>
          <w:szCs w:val="24"/>
        </w:rPr>
        <w:t>e</w:t>
      </w:r>
      <w:r w:rsidRPr="00756C6C">
        <w:rPr>
          <w:rFonts w:ascii="Times New Roman" w:hAnsi="Times New Roman" w:cs="Times New Roman"/>
          <w:i/>
          <w:sz w:val="24"/>
          <w:szCs w:val="24"/>
        </w:rPr>
        <w:t>s. The first sensitively analysis repeated the main analysis but excluded those counties that were between the 40</w:t>
      </w:r>
      <w:r w:rsidR="00B074ED" w:rsidRPr="00756C6C">
        <w:rPr>
          <w:rFonts w:ascii="Times New Roman" w:hAnsi="Times New Roman" w:cs="Times New Roman"/>
          <w:i/>
          <w:sz w:val="24"/>
          <w:szCs w:val="24"/>
          <w:vertAlign w:val="superscript"/>
        </w:rPr>
        <w:t>th</w:t>
      </w:r>
      <w:r w:rsidRPr="00756C6C">
        <w:rPr>
          <w:rFonts w:ascii="Times New Roman" w:hAnsi="Times New Roman" w:cs="Times New Roman"/>
          <w:i/>
          <w:sz w:val="24"/>
          <w:szCs w:val="24"/>
        </w:rPr>
        <w:t xml:space="preserve"> percentile to the 60</w:t>
      </w:r>
      <w:r w:rsidR="00B074ED" w:rsidRPr="00756C6C">
        <w:rPr>
          <w:rFonts w:ascii="Times New Roman" w:hAnsi="Times New Roman" w:cs="Times New Roman"/>
          <w:i/>
          <w:sz w:val="24"/>
          <w:szCs w:val="24"/>
          <w:vertAlign w:val="superscript"/>
        </w:rPr>
        <w:t>th</w:t>
      </w:r>
      <w:r w:rsidR="00B074ED" w:rsidRPr="00756C6C">
        <w:rPr>
          <w:rFonts w:ascii="Times New Roman" w:hAnsi="Times New Roman" w:cs="Times New Roman"/>
          <w:i/>
          <w:sz w:val="24"/>
          <w:szCs w:val="24"/>
        </w:rPr>
        <w:t xml:space="preserve"> </w:t>
      </w:r>
      <w:r w:rsidRPr="00756C6C">
        <w:rPr>
          <w:rFonts w:ascii="Times New Roman" w:hAnsi="Times New Roman" w:cs="Times New Roman"/>
          <w:i/>
          <w:sz w:val="24"/>
          <w:szCs w:val="24"/>
        </w:rPr>
        <w:t xml:space="preserve">percentile of foreclosure rate change. The second </w:t>
      </w:r>
      <w:r w:rsidR="002F44DD" w:rsidRPr="00756C6C">
        <w:rPr>
          <w:rFonts w:ascii="Times New Roman" w:hAnsi="Times New Roman" w:cs="Times New Roman"/>
          <w:i/>
          <w:sz w:val="24"/>
          <w:szCs w:val="24"/>
        </w:rPr>
        <w:t xml:space="preserve">sensitivity </w:t>
      </w:r>
      <w:r w:rsidRPr="00756C6C">
        <w:rPr>
          <w:rFonts w:ascii="Times New Roman" w:hAnsi="Times New Roman" w:cs="Times New Roman"/>
          <w:i/>
          <w:sz w:val="24"/>
          <w:szCs w:val="24"/>
        </w:rPr>
        <w:t>analysis reclassified the treatment and control counties</w:t>
      </w:r>
      <w:r w:rsidR="002F44DD" w:rsidRPr="00756C6C">
        <w:rPr>
          <w:rFonts w:ascii="Times New Roman" w:hAnsi="Times New Roman" w:cs="Times New Roman"/>
          <w:i/>
          <w:sz w:val="24"/>
          <w:szCs w:val="24"/>
        </w:rPr>
        <w:t xml:space="preserve"> to compare the foreclosure rate changes </w:t>
      </w:r>
      <w:r w:rsidR="00710E4C" w:rsidRPr="00756C6C">
        <w:rPr>
          <w:rFonts w:ascii="Times New Roman" w:hAnsi="Times New Roman" w:cs="Times New Roman"/>
          <w:i/>
          <w:sz w:val="24"/>
          <w:szCs w:val="24"/>
        </w:rPr>
        <w:t xml:space="preserve">of the </w:t>
      </w:r>
      <w:r w:rsidR="002F44DD" w:rsidRPr="00756C6C">
        <w:rPr>
          <w:rFonts w:ascii="Times New Roman" w:hAnsi="Times New Roman" w:cs="Times New Roman"/>
          <w:i/>
          <w:sz w:val="24"/>
          <w:szCs w:val="24"/>
        </w:rPr>
        <w:t xml:space="preserve">top </w:t>
      </w:r>
      <w:proofErr w:type="spellStart"/>
      <w:r w:rsidR="002F44DD" w:rsidRPr="00756C6C">
        <w:rPr>
          <w:rFonts w:ascii="Times New Roman" w:hAnsi="Times New Roman" w:cs="Times New Roman"/>
          <w:i/>
          <w:sz w:val="24"/>
          <w:szCs w:val="24"/>
        </w:rPr>
        <w:t>tertile</w:t>
      </w:r>
      <w:proofErr w:type="spellEnd"/>
      <w:r w:rsidR="002F44DD" w:rsidRPr="00756C6C">
        <w:rPr>
          <w:rFonts w:ascii="Times New Roman" w:hAnsi="Times New Roman" w:cs="Times New Roman"/>
          <w:i/>
          <w:sz w:val="24"/>
          <w:szCs w:val="24"/>
        </w:rPr>
        <w:t xml:space="preserve"> (treated) vs. the lower two </w:t>
      </w:r>
      <w:proofErr w:type="spellStart"/>
      <w:r w:rsidR="002F44DD" w:rsidRPr="00756C6C">
        <w:rPr>
          <w:rFonts w:ascii="Times New Roman" w:hAnsi="Times New Roman" w:cs="Times New Roman"/>
          <w:i/>
          <w:sz w:val="24"/>
          <w:szCs w:val="24"/>
        </w:rPr>
        <w:t>tertiles</w:t>
      </w:r>
      <w:proofErr w:type="spellEnd"/>
      <w:r w:rsidR="002F44DD" w:rsidRPr="00756C6C">
        <w:rPr>
          <w:rFonts w:ascii="Times New Roman" w:hAnsi="Times New Roman" w:cs="Times New Roman"/>
          <w:i/>
          <w:sz w:val="24"/>
          <w:szCs w:val="24"/>
        </w:rPr>
        <w:t xml:space="preserve"> (control). The results </w:t>
      </w:r>
      <w:r w:rsidR="00F5168A">
        <w:rPr>
          <w:rFonts w:ascii="Times New Roman" w:hAnsi="Times New Roman" w:cs="Times New Roman"/>
          <w:i/>
          <w:sz w:val="24"/>
          <w:szCs w:val="24"/>
        </w:rPr>
        <w:t xml:space="preserve">are added to the appendix of the paper. In addition, they </w:t>
      </w:r>
      <w:r w:rsidR="002F44DD" w:rsidRPr="00756C6C">
        <w:rPr>
          <w:rFonts w:ascii="Times New Roman" w:hAnsi="Times New Roman" w:cs="Times New Roman"/>
          <w:i/>
          <w:sz w:val="24"/>
          <w:szCs w:val="24"/>
        </w:rPr>
        <w:t xml:space="preserve">are </w:t>
      </w:r>
      <w:r w:rsidR="00C4490B">
        <w:rPr>
          <w:rFonts w:ascii="Times New Roman" w:hAnsi="Times New Roman" w:cs="Times New Roman"/>
          <w:i/>
          <w:sz w:val="24"/>
          <w:szCs w:val="24"/>
        </w:rPr>
        <w:t xml:space="preserve">reported </w:t>
      </w:r>
      <w:r w:rsidR="002F44DD" w:rsidRPr="005977DB">
        <w:rPr>
          <w:rFonts w:ascii="Times New Roman" w:hAnsi="Times New Roman" w:cs="Times New Roman"/>
          <w:i/>
          <w:sz w:val="24"/>
          <w:szCs w:val="24"/>
        </w:rPr>
        <w:t>below</w:t>
      </w:r>
      <w:r w:rsidR="00C4490B">
        <w:rPr>
          <w:rFonts w:ascii="Times New Roman" w:hAnsi="Times New Roman" w:cs="Times New Roman"/>
          <w:i/>
          <w:sz w:val="24"/>
          <w:szCs w:val="24"/>
        </w:rPr>
        <w:t xml:space="preserve"> for the reviewer,</w:t>
      </w:r>
      <w:r w:rsidR="002F44DD" w:rsidRPr="005977DB">
        <w:rPr>
          <w:rFonts w:ascii="Times New Roman" w:hAnsi="Times New Roman" w:cs="Times New Roman"/>
          <w:i/>
          <w:sz w:val="24"/>
          <w:szCs w:val="24"/>
        </w:rPr>
        <w:t xml:space="preserve"> along with </w:t>
      </w:r>
      <w:r w:rsidR="00D65B1E">
        <w:rPr>
          <w:rFonts w:ascii="Times New Roman" w:hAnsi="Times New Roman" w:cs="Times New Roman"/>
          <w:i/>
          <w:sz w:val="24"/>
          <w:szCs w:val="24"/>
        </w:rPr>
        <w:t xml:space="preserve">those from </w:t>
      </w:r>
      <w:r w:rsidR="002F44DD" w:rsidRPr="005977DB">
        <w:rPr>
          <w:rFonts w:ascii="Times New Roman" w:hAnsi="Times New Roman" w:cs="Times New Roman"/>
          <w:i/>
          <w:sz w:val="24"/>
          <w:szCs w:val="24"/>
        </w:rPr>
        <w:t>the original analysis for ease of comparison.</w:t>
      </w:r>
      <w:r w:rsidR="00D65B1E">
        <w:rPr>
          <w:rFonts w:ascii="Times New Roman" w:hAnsi="Times New Roman" w:cs="Times New Roman"/>
          <w:i/>
          <w:sz w:val="24"/>
          <w:szCs w:val="24"/>
        </w:rPr>
        <w:t xml:space="preserve"> </w:t>
      </w:r>
      <w:r w:rsidR="00F5168A">
        <w:rPr>
          <w:rFonts w:ascii="Times New Roman" w:hAnsi="Times New Roman" w:cs="Times New Roman"/>
          <w:i/>
          <w:sz w:val="24"/>
          <w:szCs w:val="24"/>
        </w:rPr>
        <w:t>Overall,</w:t>
      </w:r>
      <w:r w:rsidR="00D65B1E">
        <w:rPr>
          <w:rFonts w:ascii="Times New Roman" w:hAnsi="Times New Roman" w:cs="Times New Roman"/>
          <w:i/>
          <w:sz w:val="24"/>
          <w:szCs w:val="24"/>
        </w:rPr>
        <w:t xml:space="preserve"> t</w:t>
      </w:r>
      <w:r w:rsidR="00DA5144" w:rsidRPr="00F5168A">
        <w:rPr>
          <w:rFonts w:ascii="Times New Roman" w:hAnsi="Times New Roman" w:cs="Times New Roman"/>
          <w:i/>
          <w:sz w:val="24"/>
          <w:szCs w:val="24"/>
        </w:rPr>
        <w:t>he</w:t>
      </w:r>
      <w:r w:rsidR="00D65B1E">
        <w:rPr>
          <w:rFonts w:ascii="Times New Roman" w:hAnsi="Times New Roman" w:cs="Times New Roman"/>
          <w:i/>
          <w:sz w:val="24"/>
          <w:szCs w:val="24"/>
        </w:rPr>
        <w:t>se</w:t>
      </w:r>
      <w:r w:rsidR="00DA5144" w:rsidRPr="005977DB">
        <w:rPr>
          <w:rFonts w:ascii="Times New Roman" w:hAnsi="Times New Roman" w:cs="Times New Roman"/>
          <w:i/>
          <w:sz w:val="24"/>
          <w:szCs w:val="24"/>
        </w:rPr>
        <w:t xml:space="preserve"> sensitivity analys</w:t>
      </w:r>
      <w:r w:rsidR="00710E4C" w:rsidRPr="005977DB">
        <w:rPr>
          <w:rFonts w:ascii="Times New Roman" w:hAnsi="Times New Roman" w:cs="Times New Roman"/>
          <w:i/>
          <w:sz w:val="24"/>
          <w:szCs w:val="24"/>
        </w:rPr>
        <w:t>e</w:t>
      </w:r>
      <w:r w:rsidR="00DA5144" w:rsidRPr="005977DB">
        <w:rPr>
          <w:rFonts w:ascii="Times New Roman" w:hAnsi="Times New Roman" w:cs="Times New Roman"/>
          <w:i/>
          <w:sz w:val="24"/>
          <w:szCs w:val="24"/>
        </w:rPr>
        <w:t xml:space="preserve">s </w:t>
      </w:r>
      <w:r w:rsidR="00D65B1E">
        <w:rPr>
          <w:rFonts w:ascii="Times New Roman" w:hAnsi="Times New Roman" w:cs="Times New Roman"/>
          <w:i/>
          <w:sz w:val="24"/>
          <w:szCs w:val="24"/>
        </w:rPr>
        <w:t>produced results</w:t>
      </w:r>
      <w:r w:rsidR="00DA5144" w:rsidRPr="005977DB">
        <w:rPr>
          <w:rFonts w:ascii="Times New Roman" w:hAnsi="Times New Roman" w:cs="Times New Roman"/>
          <w:i/>
          <w:sz w:val="24"/>
          <w:szCs w:val="24"/>
        </w:rPr>
        <w:t xml:space="preserve"> very similar to </w:t>
      </w:r>
      <w:r w:rsidR="00D65B1E">
        <w:rPr>
          <w:rFonts w:ascii="Times New Roman" w:hAnsi="Times New Roman" w:cs="Times New Roman"/>
          <w:i/>
          <w:sz w:val="24"/>
          <w:szCs w:val="24"/>
        </w:rPr>
        <w:t xml:space="preserve">those from </w:t>
      </w:r>
      <w:r w:rsidR="00DA5144" w:rsidRPr="005977DB">
        <w:rPr>
          <w:rFonts w:ascii="Times New Roman" w:hAnsi="Times New Roman" w:cs="Times New Roman"/>
          <w:i/>
          <w:sz w:val="24"/>
          <w:szCs w:val="24"/>
        </w:rPr>
        <w:t xml:space="preserve">the </w:t>
      </w:r>
      <w:r w:rsidR="0010049A" w:rsidRPr="005977DB">
        <w:rPr>
          <w:rFonts w:ascii="Times New Roman" w:hAnsi="Times New Roman" w:cs="Times New Roman"/>
          <w:i/>
          <w:sz w:val="24"/>
          <w:szCs w:val="24"/>
        </w:rPr>
        <w:t>main</w:t>
      </w:r>
      <w:r w:rsidR="00DA5144" w:rsidRPr="005977DB">
        <w:rPr>
          <w:rFonts w:ascii="Times New Roman" w:hAnsi="Times New Roman" w:cs="Times New Roman"/>
          <w:i/>
          <w:sz w:val="24"/>
          <w:szCs w:val="24"/>
        </w:rPr>
        <w:t xml:space="preserve"> </w:t>
      </w:r>
      <w:r w:rsidR="0010049A" w:rsidRPr="005977DB">
        <w:rPr>
          <w:rFonts w:ascii="Times New Roman" w:hAnsi="Times New Roman" w:cs="Times New Roman"/>
          <w:i/>
          <w:sz w:val="24"/>
          <w:szCs w:val="24"/>
        </w:rPr>
        <w:t>analysis</w:t>
      </w:r>
      <w:r w:rsidR="00DA5144" w:rsidRPr="005977DB">
        <w:rPr>
          <w:rFonts w:ascii="Times New Roman" w:hAnsi="Times New Roman" w:cs="Times New Roman"/>
          <w:i/>
          <w:sz w:val="24"/>
          <w:szCs w:val="24"/>
        </w:rPr>
        <w:t xml:space="preserve">. </w:t>
      </w:r>
      <w:r w:rsidR="00710E4C" w:rsidRPr="005977DB">
        <w:rPr>
          <w:rFonts w:ascii="Times New Roman" w:hAnsi="Times New Roman" w:cs="Times New Roman"/>
          <w:i/>
          <w:sz w:val="24"/>
          <w:szCs w:val="24"/>
        </w:rPr>
        <w:t>Specifically, t</w:t>
      </w:r>
      <w:r w:rsidR="00DA5144" w:rsidRPr="005977DB">
        <w:rPr>
          <w:rFonts w:ascii="Times New Roman" w:hAnsi="Times New Roman" w:cs="Times New Roman"/>
          <w:i/>
          <w:sz w:val="24"/>
          <w:szCs w:val="24"/>
        </w:rPr>
        <w:t xml:space="preserve">he results for </w:t>
      </w:r>
      <w:r w:rsidR="00D65B1E" w:rsidRPr="0075765E">
        <w:rPr>
          <w:rFonts w:ascii="Times New Roman" w:hAnsi="Times New Roman" w:cs="Times New Roman"/>
          <w:i/>
          <w:sz w:val="24"/>
          <w:szCs w:val="24"/>
        </w:rPr>
        <w:t xml:space="preserve">explicit-identified violence </w:t>
      </w:r>
      <w:r w:rsidR="00D65B1E">
        <w:rPr>
          <w:rFonts w:ascii="Times New Roman" w:hAnsi="Times New Roman" w:cs="Times New Roman"/>
          <w:i/>
          <w:sz w:val="24"/>
          <w:szCs w:val="24"/>
        </w:rPr>
        <w:t xml:space="preserve">in </w:t>
      </w:r>
      <w:r w:rsidR="00140FE3" w:rsidRPr="005977DB">
        <w:rPr>
          <w:rFonts w:ascii="Times New Roman" w:hAnsi="Times New Roman" w:cs="Times New Roman"/>
          <w:i/>
          <w:sz w:val="24"/>
          <w:szCs w:val="24"/>
        </w:rPr>
        <w:t xml:space="preserve">both sensitivity analyses </w:t>
      </w:r>
      <w:r w:rsidR="00D65B1E">
        <w:rPr>
          <w:rFonts w:ascii="Times New Roman" w:hAnsi="Times New Roman" w:cs="Times New Roman"/>
          <w:i/>
          <w:sz w:val="24"/>
          <w:szCs w:val="24"/>
        </w:rPr>
        <w:t>were</w:t>
      </w:r>
      <w:r w:rsidR="00DA5144" w:rsidRPr="005977DB">
        <w:rPr>
          <w:rFonts w:ascii="Times New Roman" w:hAnsi="Times New Roman" w:cs="Times New Roman"/>
          <w:i/>
          <w:sz w:val="24"/>
          <w:szCs w:val="24"/>
        </w:rPr>
        <w:t xml:space="preserve"> very similar to the original analysis</w:t>
      </w:r>
      <w:r w:rsidR="00D65B1E">
        <w:rPr>
          <w:rFonts w:ascii="Times New Roman" w:hAnsi="Times New Roman" w:cs="Times New Roman"/>
          <w:i/>
          <w:sz w:val="24"/>
          <w:szCs w:val="24"/>
        </w:rPr>
        <w:t xml:space="preserve">. </w:t>
      </w:r>
      <w:r w:rsidR="0010049A" w:rsidRPr="00F5168A">
        <w:rPr>
          <w:rFonts w:ascii="Times New Roman" w:hAnsi="Times New Roman" w:cs="Times New Roman"/>
          <w:i/>
          <w:sz w:val="24"/>
          <w:szCs w:val="24"/>
        </w:rPr>
        <w:t>The results for proxy</w:t>
      </w:r>
      <w:r w:rsidR="00140FE3" w:rsidRPr="00F5168A">
        <w:rPr>
          <w:rFonts w:ascii="Times New Roman" w:hAnsi="Times New Roman" w:cs="Times New Roman"/>
          <w:i/>
          <w:sz w:val="24"/>
          <w:szCs w:val="24"/>
        </w:rPr>
        <w:t>-</w:t>
      </w:r>
      <w:r w:rsidR="00EC2C95" w:rsidRPr="00F5168A">
        <w:rPr>
          <w:rFonts w:ascii="Times New Roman" w:hAnsi="Times New Roman" w:cs="Times New Roman"/>
          <w:i/>
          <w:sz w:val="24"/>
          <w:szCs w:val="24"/>
        </w:rPr>
        <w:t>identified</w:t>
      </w:r>
      <w:r w:rsidR="0010049A" w:rsidRPr="00F5168A">
        <w:rPr>
          <w:rFonts w:ascii="Times New Roman" w:hAnsi="Times New Roman" w:cs="Times New Roman"/>
          <w:i/>
          <w:sz w:val="24"/>
          <w:szCs w:val="24"/>
        </w:rPr>
        <w:t xml:space="preserve"> violence</w:t>
      </w:r>
      <w:r w:rsidR="002C0081" w:rsidRPr="00F5168A">
        <w:rPr>
          <w:rFonts w:ascii="Times New Roman" w:hAnsi="Times New Roman" w:cs="Times New Roman"/>
          <w:i/>
          <w:sz w:val="24"/>
          <w:szCs w:val="24"/>
        </w:rPr>
        <w:t xml:space="preserve"> </w:t>
      </w:r>
      <w:r w:rsidR="00140FE3" w:rsidRPr="00F5168A">
        <w:rPr>
          <w:rFonts w:ascii="Times New Roman" w:hAnsi="Times New Roman" w:cs="Times New Roman"/>
          <w:i/>
          <w:sz w:val="24"/>
          <w:szCs w:val="24"/>
        </w:rPr>
        <w:t>were</w:t>
      </w:r>
      <w:r w:rsidR="002C0081" w:rsidRPr="00F5168A">
        <w:rPr>
          <w:rFonts w:ascii="Times New Roman" w:hAnsi="Times New Roman" w:cs="Times New Roman"/>
          <w:i/>
          <w:sz w:val="24"/>
          <w:szCs w:val="24"/>
        </w:rPr>
        <w:t xml:space="preserve"> roughly similar </w:t>
      </w:r>
      <w:r w:rsidR="00D65B1E">
        <w:rPr>
          <w:rFonts w:ascii="Times New Roman" w:hAnsi="Times New Roman" w:cs="Times New Roman"/>
          <w:i/>
          <w:sz w:val="24"/>
          <w:szCs w:val="24"/>
        </w:rPr>
        <w:t>across sensitivity and</w:t>
      </w:r>
      <w:r w:rsidR="00140FE3" w:rsidRPr="005977DB">
        <w:rPr>
          <w:rFonts w:ascii="Times New Roman" w:hAnsi="Times New Roman" w:cs="Times New Roman"/>
          <w:i/>
          <w:sz w:val="24"/>
          <w:szCs w:val="24"/>
        </w:rPr>
        <w:t xml:space="preserve"> main analys</w:t>
      </w:r>
      <w:r w:rsidR="00D65B1E">
        <w:rPr>
          <w:rFonts w:ascii="Times New Roman" w:hAnsi="Times New Roman" w:cs="Times New Roman"/>
          <w:i/>
          <w:sz w:val="24"/>
          <w:szCs w:val="24"/>
        </w:rPr>
        <w:t>e</w:t>
      </w:r>
      <w:r w:rsidR="00140FE3" w:rsidRPr="00F5168A">
        <w:rPr>
          <w:rFonts w:ascii="Times New Roman" w:hAnsi="Times New Roman" w:cs="Times New Roman"/>
          <w:i/>
          <w:sz w:val="24"/>
          <w:szCs w:val="24"/>
        </w:rPr>
        <w:t>s</w:t>
      </w:r>
      <w:r w:rsidR="00D65B1E">
        <w:rPr>
          <w:rFonts w:ascii="Times New Roman" w:hAnsi="Times New Roman" w:cs="Times New Roman"/>
          <w:i/>
          <w:sz w:val="24"/>
          <w:szCs w:val="24"/>
        </w:rPr>
        <w:t>,</w:t>
      </w:r>
      <w:r w:rsidR="00140FE3" w:rsidRPr="005977DB">
        <w:rPr>
          <w:rFonts w:ascii="Times New Roman" w:hAnsi="Times New Roman" w:cs="Times New Roman"/>
          <w:i/>
          <w:sz w:val="24"/>
          <w:szCs w:val="24"/>
        </w:rPr>
        <w:t xml:space="preserve"> </w:t>
      </w:r>
      <w:r w:rsidR="002C0081" w:rsidRPr="005977DB">
        <w:rPr>
          <w:rFonts w:ascii="Times New Roman" w:hAnsi="Times New Roman" w:cs="Times New Roman"/>
          <w:i/>
          <w:sz w:val="24"/>
          <w:szCs w:val="24"/>
        </w:rPr>
        <w:t xml:space="preserve">with the most </w:t>
      </w:r>
      <w:r w:rsidR="00710E4C" w:rsidRPr="005977DB">
        <w:rPr>
          <w:rFonts w:ascii="Times New Roman" w:hAnsi="Times New Roman" w:cs="Times New Roman"/>
          <w:i/>
          <w:sz w:val="24"/>
          <w:szCs w:val="24"/>
        </w:rPr>
        <w:t>notable</w:t>
      </w:r>
      <w:r w:rsidR="002C0081" w:rsidRPr="005977DB">
        <w:rPr>
          <w:rFonts w:ascii="Times New Roman" w:hAnsi="Times New Roman" w:cs="Times New Roman"/>
          <w:i/>
          <w:sz w:val="24"/>
          <w:szCs w:val="24"/>
        </w:rPr>
        <w:t xml:space="preserve"> </w:t>
      </w:r>
      <w:r w:rsidR="00710E4C" w:rsidRPr="005977DB">
        <w:rPr>
          <w:rFonts w:ascii="Times New Roman" w:hAnsi="Times New Roman" w:cs="Times New Roman"/>
          <w:i/>
          <w:sz w:val="24"/>
          <w:szCs w:val="24"/>
        </w:rPr>
        <w:t>difference</w:t>
      </w:r>
      <w:r w:rsidR="002C0081" w:rsidRPr="005977DB">
        <w:rPr>
          <w:rFonts w:ascii="Times New Roman" w:hAnsi="Times New Roman" w:cs="Times New Roman"/>
          <w:i/>
          <w:sz w:val="24"/>
          <w:szCs w:val="24"/>
        </w:rPr>
        <w:t xml:space="preserve"> being </w:t>
      </w:r>
      <w:r w:rsidR="00D65B1E">
        <w:rPr>
          <w:rFonts w:ascii="Times New Roman" w:hAnsi="Times New Roman" w:cs="Times New Roman"/>
          <w:i/>
          <w:sz w:val="24"/>
          <w:szCs w:val="24"/>
        </w:rPr>
        <w:t>an</w:t>
      </w:r>
      <w:r w:rsidR="002C0081" w:rsidRPr="00F5168A">
        <w:rPr>
          <w:rFonts w:ascii="Times New Roman" w:hAnsi="Times New Roman" w:cs="Times New Roman"/>
          <w:i/>
          <w:sz w:val="24"/>
          <w:szCs w:val="24"/>
        </w:rPr>
        <w:t xml:space="preserve"> </w:t>
      </w:r>
      <w:r w:rsidR="00710E4C" w:rsidRPr="00F5168A">
        <w:rPr>
          <w:rFonts w:ascii="Times New Roman" w:hAnsi="Times New Roman" w:cs="Times New Roman"/>
          <w:i/>
          <w:sz w:val="24"/>
          <w:szCs w:val="24"/>
        </w:rPr>
        <w:t>attenuation</w:t>
      </w:r>
      <w:r w:rsidR="002C0081" w:rsidRPr="00F5168A">
        <w:rPr>
          <w:rFonts w:ascii="Times New Roman" w:hAnsi="Times New Roman" w:cs="Times New Roman"/>
          <w:i/>
          <w:sz w:val="24"/>
          <w:szCs w:val="24"/>
        </w:rPr>
        <w:t xml:space="preserve"> of </w:t>
      </w:r>
      <w:bookmarkStart w:id="0" w:name="_Hlk90989300"/>
      <w:r w:rsidR="00723A67">
        <w:rPr>
          <w:rFonts w:ascii="Times New Roman" w:hAnsi="Times New Roman" w:cs="Times New Roman"/>
          <w:bCs/>
          <w:i/>
          <w:sz w:val="24"/>
          <w:szCs w:val="24"/>
        </w:rPr>
        <w:t>the</w:t>
      </w:r>
      <w:r w:rsidR="00723A67" w:rsidRPr="005977DB">
        <w:rPr>
          <w:rFonts w:ascii="Times New Roman" w:hAnsi="Times New Roman" w:cs="Times New Roman"/>
          <w:bCs/>
          <w:i/>
          <w:sz w:val="24"/>
          <w:szCs w:val="24"/>
        </w:rPr>
        <w:t xml:space="preserve"> </w:t>
      </w:r>
      <w:r w:rsidR="002C0081" w:rsidRPr="005977DB">
        <w:rPr>
          <w:rFonts w:ascii="Times New Roman" w:hAnsi="Times New Roman" w:cs="Times New Roman"/>
          <w:bCs/>
          <w:i/>
          <w:sz w:val="24"/>
          <w:szCs w:val="24"/>
        </w:rPr>
        <w:t xml:space="preserve">proxy-identified </w:t>
      </w:r>
      <w:r w:rsidR="00723A67">
        <w:rPr>
          <w:rFonts w:ascii="Times New Roman" w:hAnsi="Times New Roman" w:cs="Times New Roman"/>
          <w:bCs/>
          <w:i/>
          <w:sz w:val="24"/>
          <w:szCs w:val="24"/>
        </w:rPr>
        <w:t xml:space="preserve">combined </w:t>
      </w:r>
      <w:r w:rsidR="002C0081" w:rsidRPr="005977DB">
        <w:rPr>
          <w:rFonts w:ascii="Times New Roman" w:hAnsi="Times New Roman" w:cs="Times New Roman"/>
          <w:bCs/>
          <w:i/>
          <w:sz w:val="24"/>
          <w:szCs w:val="24"/>
        </w:rPr>
        <w:t>violence</w:t>
      </w:r>
      <w:bookmarkEnd w:id="0"/>
      <w:r w:rsidR="00723A67">
        <w:rPr>
          <w:rFonts w:ascii="Times New Roman" w:hAnsi="Times New Roman" w:cs="Times New Roman"/>
          <w:bCs/>
          <w:i/>
          <w:sz w:val="24"/>
          <w:szCs w:val="24"/>
        </w:rPr>
        <w:t xml:space="preserve"> outcomes</w:t>
      </w:r>
      <w:r w:rsidR="00612447">
        <w:rPr>
          <w:rFonts w:ascii="Times New Roman" w:hAnsi="Times New Roman" w:cs="Times New Roman"/>
          <w:bCs/>
          <w:i/>
          <w:sz w:val="24"/>
          <w:szCs w:val="24"/>
        </w:rPr>
        <w:t>, although directionality is the same across all models</w:t>
      </w:r>
      <w:r w:rsidR="00140FE3" w:rsidRPr="005977DB">
        <w:rPr>
          <w:rFonts w:ascii="Times New Roman" w:hAnsi="Times New Roman" w:cs="Times New Roman"/>
          <w:bCs/>
          <w:i/>
          <w:sz w:val="24"/>
          <w:szCs w:val="24"/>
        </w:rPr>
        <w:t>.</w:t>
      </w:r>
      <w:r w:rsidR="002C0081" w:rsidRPr="005977DB">
        <w:rPr>
          <w:rFonts w:ascii="Times New Roman" w:hAnsi="Times New Roman" w:cs="Times New Roman"/>
          <w:bCs/>
          <w:i/>
          <w:sz w:val="24"/>
          <w:szCs w:val="24"/>
        </w:rPr>
        <w:t xml:space="preserve"> </w:t>
      </w:r>
      <w:r w:rsidR="00764606">
        <w:rPr>
          <w:rFonts w:ascii="Times New Roman" w:hAnsi="Times New Roman" w:cs="Times New Roman"/>
          <w:bCs/>
          <w:i/>
          <w:sz w:val="24"/>
          <w:szCs w:val="24"/>
        </w:rPr>
        <w:t>We investigated possible sources of the attenuation in the combined effect estimates, and noted a strong impact of the interaction term between treatment and time for elder abuse (indicating substantial differences in elder abuse time trends in treated versus control counties). We therefore ran further</w:t>
      </w:r>
      <w:r w:rsidR="005A1C2F">
        <w:rPr>
          <w:rFonts w:ascii="Times New Roman" w:hAnsi="Times New Roman" w:cs="Times New Roman"/>
          <w:bCs/>
          <w:i/>
          <w:sz w:val="24"/>
          <w:szCs w:val="24"/>
        </w:rPr>
        <w:t xml:space="preserve"> two</w:t>
      </w:r>
      <w:r w:rsidR="00764606">
        <w:rPr>
          <w:rFonts w:ascii="Times New Roman" w:hAnsi="Times New Roman" w:cs="Times New Roman"/>
          <w:bCs/>
          <w:i/>
          <w:sz w:val="24"/>
          <w:szCs w:val="24"/>
        </w:rPr>
        <w:t xml:space="preserve"> sensitivity analys</w:t>
      </w:r>
      <w:r w:rsidR="00C23A94">
        <w:rPr>
          <w:rFonts w:ascii="Times New Roman" w:hAnsi="Times New Roman" w:cs="Times New Roman"/>
          <w:bCs/>
          <w:i/>
          <w:sz w:val="24"/>
          <w:szCs w:val="24"/>
        </w:rPr>
        <w:t>e</w:t>
      </w:r>
      <w:r w:rsidR="00764606">
        <w:rPr>
          <w:rFonts w:ascii="Times New Roman" w:hAnsi="Times New Roman" w:cs="Times New Roman"/>
          <w:bCs/>
          <w:i/>
          <w:sz w:val="24"/>
          <w:szCs w:val="24"/>
        </w:rPr>
        <w:t>s removing this interaction term</w:t>
      </w:r>
      <w:r w:rsidR="005A1C2F">
        <w:rPr>
          <w:rFonts w:ascii="Times New Roman" w:hAnsi="Times New Roman" w:cs="Times New Roman"/>
          <w:bCs/>
          <w:i/>
          <w:sz w:val="24"/>
          <w:szCs w:val="24"/>
        </w:rPr>
        <w:t xml:space="preserve"> for the same two models above</w:t>
      </w:r>
      <w:r w:rsidR="00764606">
        <w:rPr>
          <w:rFonts w:ascii="Times New Roman" w:hAnsi="Times New Roman" w:cs="Times New Roman"/>
          <w:bCs/>
          <w:i/>
          <w:sz w:val="24"/>
          <w:szCs w:val="24"/>
        </w:rPr>
        <w:t xml:space="preserve">. </w:t>
      </w:r>
      <w:r w:rsidR="00BF5134" w:rsidRPr="00BF5134">
        <w:t xml:space="preserve"> </w:t>
      </w:r>
      <w:r w:rsidR="00BF5134" w:rsidRPr="00BF5134">
        <w:rPr>
          <w:rFonts w:ascii="Times New Roman" w:hAnsi="Times New Roman" w:cs="Times New Roman"/>
          <w:bCs/>
          <w:i/>
          <w:sz w:val="24"/>
          <w:szCs w:val="24"/>
        </w:rPr>
        <w:t xml:space="preserve">Overall, these </w:t>
      </w:r>
      <w:r w:rsidR="003E7F33">
        <w:rPr>
          <w:rFonts w:ascii="Times New Roman" w:hAnsi="Times New Roman" w:cs="Times New Roman"/>
          <w:bCs/>
          <w:i/>
          <w:sz w:val="24"/>
          <w:szCs w:val="24"/>
        </w:rPr>
        <w:t xml:space="preserve">addition </w:t>
      </w:r>
      <w:r w:rsidR="00BF5134" w:rsidRPr="00BF5134">
        <w:rPr>
          <w:rFonts w:ascii="Times New Roman" w:hAnsi="Times New Roman" w:cs="Times New Roman"/>
          <w:bCs/>
          <w:i/>
          <w:sz w:val="24"/>
          <w:szCs w:val="24"/>
        </w:rPr>
        <w:t>sensitivity analyses produced results very similar to those from the main analysis. Specifically, the results for explicit-identified violence in both sensitivity analyses were very similar to the original analysis.</w:t>
      </w:r>
      <w:r w:rsidR="00BF5134" w:rsidRPr="00BF5134">
        <w:t xml:space="preserve"> </w:t>
      </w:r>
      <w:r w:rsidR="00BF5134" w:rsidRPr="00BF5134">
        <w:rPr>
          <w:rFonts w:ascii="Times New Roman" w:hAnsi="Times New Roman" w:cs="Times New Roman"/>
          <w:bCs/>
          <w:i/>
          <w:sz w:val="24"/>
          <w:szCs w:val="24"/>
        </w:rPr>
        <w:t xml:space="preserve">The results for proxy-identified violence were roughly similar across </w:t>
      </w:r>
      <w:r w:rsidR="003E7F33">
        <w:rPr>
          <w:rFonts w:ascii="Times New Roman" w:hAnsi="Times New Roman" w:cs="Times New Roman"/>
          <w:bCs/>
          <w:i/>
          <w:sz w:val="24"/>
          <w:szCs w:val="24"/>
        </w:rPr>
        <w:t xml:space="preserve">each </w:t>
      </w:r>
      <w:r w:rsidR="00BF5134" w:rsidRPr="00BF5134">
        <w:rPr>
          <w:rFonts w:ascii="Times New Roman" w:hAnsi="Times New Roman" w:cs="Times New Roman"/>
          <w:bCs/>
          <w:i/>
          <w:sz w:val="24"/>
          <w:szCs w:val="24"/>
        </w:rPr>
        <w:t>sensitivity and main analyses, with the most notable difference</w:t>
      </w:r>
      <w:r w:rsidR="003E7F33">
        <w:rPr>
          <w:rFonts w:ascii="Times New Roman" w:hAnsi="Times New Roman" w:cs="Times New Roman"/>
          <w:bCs/>
          <w:i/>
          <w:sz w:val="24"/>
          <w:szCs w:val="24"/>
        </w:rPr>
        <w:t>s</w:t>
      </w:r>
      <w:r w:rsidR="00BF5134" w:rsidRPr="00BF5134">
        <w:rPr>
          <w:rFonts w:ascii="Times New Roman" w:hAnsi="Times New Roman" w:cs="Times New Roman"/>
          <w:bCs/>
          <w:i/>
          <w:sz w:val="24"/>
          <w:szCs w:val="24"/>
        </w:rPr>
        <w:t xml:space="preserve"> being a directionality</w:t>
      </w:r>
      <w:r w:rsidR="00BF5134">
        <w:rPr>
          <w:rFonts w:ascii="Times New Roman" w:hAnsi="Times New Roman" w:cs="Times New Roman"/>
          <w:bCs/>
          <w:i/>
          <w:sz w:val="24"/>
          <w:szCs w:val="24"/>
        </w:rPr>
        <w:t xml:space="preserve"> change</w:t>
      </w:r>
      <w:r w:rsidR="00BF5134" w:rsidRPr="00BF5134">
        <w:rPr>
          <w:rFonts w:ascii="Times New Roman" w:hAnsi="Times New Roman" w:cs="Times New Roman"/>
          <w:bCs/>
          <w:i/>
          <w:sz w:val="24"/>
          <w:szCs w:val="24"/>
        </w:rPr>
        <w:t xml:space="preserve"> </w:t>
      </w:r>
      <w:r w:rsidR="003E7F33">
        <w:rPr>
          <w:rFonts w:ascii="Times New Roman" w:hAnsi="Times New Roman" w:cs="Times New Roman"/>
          <w:bCs/>
          <w:i/>
          <w:sz w:val="24"/>
          <w:szCs w:val="24"/>
        </w:rPr>
        <w:t xml:space="preserve">from </w:t>
      </w:r>
      <w:r w:rsidR="003E7F33" w:rsidRPr="00BF5134">
        <w:rPr>
          <w:rFonts w:ascii="Times New Roman" w:hAnsi="Times New Roman" w:cs="Times New Roman"/>
          <w:bCs/>
          <w:i/>
          <w:sz w:val="24"/>
          <w:szCs w:val="24"/>
        </w:rPr>
        <w:t>proxy-</w:t>
      </w:r>
      <w:r w:rsidR="003E7F33" w:rsidRPr="003E7F33">
        <w:rPr>
          <w:rFonts w:ascii="Times New Roman" w:hAnsi="Times New Roman" w:cs="Times New Roman"/>
          <w:bCs/>
          <w:i/>
          <w:sz w:val="24"/>
          <w:szCs w:val="24"/>
        </w:rPr>
        <w:t xml:space="preserve"> </w:t>
      </w:r>
      <w:r w:rsidR="003E7F33" w:rsidRPr="00BF5134">
        <w:rPr>
          <w:rFonts w:ascii="Times New Roman" w:hAnsi="Times New Roman" w:cs="Times New Roman"/>
          <w:bCs/>
          <w:i/>
          <w:sz w:val="24"/>
          <w:szCs w:val="24"/>
        </w:rPr>
        <w:t xml:space="preserve">identified </w:t>
      </w:r>
      <w:r w:rsidR="003E7F33">
        <w:rPr>
          <w:rFonts w:ascii="Times New Roman" w:hAnsi="Times New Roman" w:cs="Times New Roman"/>
          <w:bCs/>
          <w:i/>
          <w:sz w:val="24"/>
          <w:szCs w:val="24"/>
        </w:rPr>
        <w:t xml:space="preserve">elder abuse and </w:t>
      </w:r>
      <w:r w:rsidR="00BF5134" w:rsidRPr="00BF5134">
        <w:rPr>
          <w:rFonts w:ascii="Times New Roman" w:hAnsi="Times New Roman" w:cs="Times New Roman"/>
          <w:bCs/>
          <w:i/>
          <w:sz w:val="24"/>
          <w:szCs w:val="24"/>
        </w:rPr>
        <w:t>attenuation of the proxy-identified combined violence outcomes</w:t>
      </w:r>
      <w:r w:rsidR="00BF5134">
        <w:rPr>
          <w:rFonts w:ascii="Times New Roman" w:hAnsi="Times New Roman" w:cs="Times New Roman"/>
          <w:bCs/>
          <w:i/>
          <w:sz w:val="24"/>
          <w:szCs w:val="24"/>
        </w:rPr>
        <w:t xml:space="preserve"> </w:t>
      </w:r>
      <w:r w:rsidR="003E7F33">
        <w:rPr>
          <w:rFonts w:ascii="Times New Roman" w:hAnsi="Times New Roman" w:cs="Times New Roman"/>
          <w:bCs/>
          <w:i/>
          <w:sz w:val="24"/>
          <w:szCs w:val="24"/>
        </w:rPr>
        <w:t>likely caused by the directionality change in proxy-identified elder abuse.</w:t>
      </w:r>
      <w:r w:rsidR="003E7F33" w:rsidRPr="003E7F33">
        <w:rPr>
          <w:rFonts w:ascii="Times New Roman" w:hAnsi="Times New Roman" w:cs="Times New Roman"/>
          <w:bCs/>
          <w:i/>
          <w:sz w:val="24"/>
          <w:szCs w:val="24"/>
        </w:rPr>
        <w:t xml:space="preserve"> </w:t>
      </w:r>
      <w:r w:rsidR="00DD7C7C">
        <w:rPr>
          <w:rFonts w:ascii="Times New Roman" w:hAnsi="Times New Roman" w:cs="Times New Roman"/>
          <w:bCs/>
          <w:i/>
          <w:sz w:val="24"/>
          <w:szCs w:val="24"/>
        </w:rPr>
        <w:t>All of the</w:t>
      </w:r>
      <w:r w:rsidR="003E7F33" w:rsidRPr="005977DB">
        <w:rPr>
          <w:rFonts w:ascii="Times New Roman" w:hAnsi="Times New Roman" w:cs="Times New Roman"/>
          <w:bCs/>
          <w:i/>
          <w:sz w:val="24"/>
          <w:szCs w:val="24"/>
        </w:rPr>
        <w:t xml:space="preserve"> </w:t>
      </w:r>
      <w:r w:rsidR="003E7F33">
        <w:rPr>
          <w:rFonts w:ascii="Times New Roman" w:hAnsi="Times New Roman" w:cs="Times New Roman"/>
          <w:bCs/>
          <w:i/>
          <w:sz w:val="24"/>
          <w:szCs w:val="24"/>
        </w:rPr>
        <w:t xml:space="preserve">sensitivity model </w:t>
      </w:r>
      <w:r w:rsidR="003E7F33" w:rsidRPr="005977DB">
        <w:rPr>
          <w:rFonts w:ascii="Times New Roman" w:hAnsi="Times New Roman" w:cs="Times New Roman"/>
          <w:bCs/>
          <w:i/>
          <w:sz w:val="24"/>
          <w:szCs w:val="24"/>
        </w:rPr>
        <w:t>estimates had wide</w:t>
      </w:r>
      <w:r w:rsidR="003E7F33">
        <w:rPr>
          <w:rFonts w:ascii="Times New Roman" w:hAnsi="Times New Roman" w:cs="Times New Roman"/>
          <w:bCs/>
          <w:i/>
          <w:sz w:val="24"/>
          <w:szCs w:val="24"/>
        </w:rPr>
        <w:t>r</w:t>
      </w:r>
      <w:r w:rsidR="003E7F33" w:rsidRPr="005977DB">
        <w:rPr>
          <w:rFonts w:ascii="Times New Roman" w:hAnsi="Times New Roman" w:cs="Times New Roman"/>
          <w:bCs/>
          <w:i/>
          <w:sz w:val="24"/>
          <w:szCs w:val="24"/>
        </w:rPr>
        <w:t xml:space="preserve"> confidence intervals </w:t>
      </w:r>
      <w:r w:rsidR="003E7F33">
        <w:rPr>
          <w:rFonts w:ascii="Times New Roman" w:hAnsi="Times New Roman" w:cs="Times New Roman"/>
          <w:bCs/>
          <w:i/>
          <w:sz w:val="24"/>
          <w:szCs w:val="24"/>
        </w:rPr>
        <w:t xml:space="preserve">than the main analyses, </w:t>
      </w:r>
      <w:r w:rsidR="003E7F33" w:rsidRPr="005977DB">
        <w:rPr>
          <w:rFonts w:ascii="Times New Roman" w:hAnsi="Times New Roman" w:cs="Times New Roman"/>
          <w:bCs/>
          <w:i/>
          <w:sz w:val="24"/>
          <w:szCs w:val="24"/>
        </w:rPr>
        <w:t>that crossed the null likely due to the reduction in sample size</w:t>
      </w:r>
      <w:r w:rsidR="003E7F33">
        <w:rPr>
          <w:rFonts w:ascii="Times New Roman" w:hAnsi="Times New Roman" w:cs="Times New Roman"/>
          <w:bCs/>
          <w:i/>
          <w:sz w:val="24"/>
          <w:szCs w:val="24"/>
        </w:rPr>
        <w:t xml:space="preserve"> in one or both comparison groups</w:t>
      </w:r>
      <w:r w:rsidR="003E7F33" w:rsidRPr="005977DB">
        <w:rPr>
          <w:rFonts w:ascii="Times New Roman" w:hAnsi="Times New Roman" w:cs="Times New Roman"/>
          <w:bCs/>
          <w:i/>
          <w:sz w:val="24"/>
          <w:szCs w:val="24"/>
        </w:rPr>
        <w:t>.</w:t>
      </w:r>
    </w:p>
    <w:p w14:paraId="0FC1CDCD" w14:textId="1900F403" w:rsidR="00AF6D8A" w:rsidRDefault="00AF6D8A" w:rsidP="00AF6D8A">
      <w:pPr>
        <w:rPr>
          <w:rFonts w:ascii="Times New Roman" w:hAnsi="Times New Roman" w:cs="Times New Roman"/>
          <w:bCs/>
          <w:i/>
          <w:sz w:val="24"/>
          <w:szCs w:val="24"/>
        </w:rPr>
      </w:pPr>
    </w:p>
    <w:p w14:paraId="549DD5F4" w14:textId="4625DAB1" w:rsidR="00AF6D8A" w:rsidRDefault="00AF6D8A" w:rsidP="00AF6D8A">
      <w:pPr>
        <w:rPr>
          <w:rFonts w:ascii="Times New Roman" w:hAnsi="Times New Roman" w:cs="Times New Roman"/>
          <w:bCs/>
          <w:i/>
          <w:sz w:val="24"/>
          <w:szCs w:val="24"/>
        </w:rPr>
      </w:pPr>
    </w:p>
    <w:p w14:paraId="3543851A" w14:textId="7A561740" w:rsidR="00AF6D8A" w:rsidRDefault="00AF6D8A" w:rsidP="00AF6D8A">
      <w:pPr>
        <w:rPr>
          <w:rFonts w:ascii="Times New Roman" w:hAnsi="Times New Roman" w:cs="Times New Roman"/>
          <w:bCs/>
          <w:i/>
          <w:sz w:val="24"/>
          <w:szCs w:val="24"/>
        </w:rPr>
      </w:pPr>
    </w:p>
    <w:p w14:paraId="53C6E62A" w14:textId="3FDC5961" w:rsidR="00AF6D8A" w:rsidRDefault="00B2027A" w:rsidP="00AF6D8A">
      <w:pPr>
        <w:rPr>
          <w:rFonts w:ascii="Times New Roman" w:hAnsi="Times New Roman" w:cs="Times New Roman"/>
          <w:bCs/>
          <w:i/>
          <w:sz w:val="24"/>
          <w:szCs w:val="24"/>
        </w:rPr>
      </w:pPr>
      <w:r w:rsidRPr="00B2027A">
        <w:lastRenderedPageBreak/>
        <w:drawing>
          <wp:inline distT="0" distB="0" distL="0" distR="0" wp14:anchorId="7EFA43C0" wp14:editId="760F8A9F">
            <wp:extent cx="5943600" cy="814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140700"/>
                    </a:xfrm>
                    <a:prstGeom prst="rect">
                      <a:avLst/>
                    </a:prstGeom>
                    <a:noFill/>
                    <a:ln>
                      <a:noFill/>
                    </a:ln>
                  </pic:spPr>
                </pic:pic>
              </a:graphicData>
            </a:graphic>
          </wp:inline>
        </w:drawing>
      </w:r>
    </w:p>
    <w:p w14:paraId="503C6587" w14:textId="1A0CB247" w:rsidR="009D025D" w:rsidRDefault="00AF6D8A" w:rsidP="00354A69">
      <w:r>
        <w:lastRenderedPageBreak/>
        <w:fldChar w:fldCharType="begin"/>
      </w:r>
      <w:r>
        <w:instrText xml:space="preserve"> LINK </w:instrText>
      </w:r>
      <w:r w:rsidR="004E258C">
        <w:instrText xml:space="preserve">Excel.Sheet.12 "G:\\My Drive\\Dissertation\\Recession and Violence\\Aim 3- paper\\AJE\\R&amp;R\\Copy of Tables Dissertation Paper 3 2.11.21 _R&amp;R.xlsx" "Appendix 3.!R1C1:R33C7" </w:instrText>
      </w:r>
      <w:r>
        <w:instrText xml:space="preserve">\a \f 4 \h  \* MERGEFORMAT </w:instrText>
      </w:r>
      <w:r>
        <w:fldChar w:fldCharType="separate"/>
      </w:r>
    </w:p>
    <w:p w14:paraId="1A2EC8E4" w14:textId="4F21DC7F" w:rsidR="00936066" w:rsidRPr="00D06F08" w:rsidRDefault="00AF6D8A" w:rsidP="00354A69">
      <w:pPr>
        <w:rPr>
          <w:rFonts w:ascii="Times New Roman" w:hAnsi="Times New Roman" w:cs="Times New Roman"/>
          <w:sz w:val="24"/>
          <w:szCs w:val="24"/>
        </w:rPr>
      </w:pPr>
      <w:r>
        <w:rPr>
          <w:rFonts w:ascii="Times New Roman" w:hAnsi="Times New Roman" w:cs="Times New Roman"/>
          <w:bCs/>
          <w:i/>
          <w:sz w:val="24"/>
          <w:szCs w:val="24"/>
        </w:rPr>
        <w:fldChar w:fldCharType="end"/>
      </w:r>
    </w:p>
    <w:p w14:paraId="305E9F6A" w14:textId="6F682E45" w:rsidR="008372FB" w:rsidRPr="00D06F08" w:rsidRDefault="008372FB" w:rsidP="00962471">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Foreclosure rate was calculated as the total number of foreclosures divided by the total number of residential parcels. This measure will be impacted by the proportion of the parcels that have mortgages, and a change in proportion of properties with mortgages may be associated with violence rate changes. It would be more informative to use a denominator of total number of mortgages if it is available.</w:t>
      </w:r>
    </w:p>
    <w:p w14:paraId="5FD740D6" w14:textId="6AD4B0AE" w:rsidR="00CA4D4A" w:rsidRPr="005E374F" w:rsidRDefault="00BB25A2" w:rsidP="00BB25A2">
      <w:pPr>
        <w:ind w:left="720"/>
        <w:rPr>
          <w:rFonts w:ascii="Times New Roman" w:hAnsi="Times New Roman" w:cs="Times New Roman"/>
          <w:i/>
          <w:sz w:val="24"/>
          <w:szCs w:val="24"/>
        </w:rPr>
      </w:pPr>
      <w:r w:rsidRPr="005977DB">
        <w:rPr>
          <w:rFonts w:ascii="Times New Roman" w:hAnsi="Times New Roman" w:cs="Times New Roman"/>
          <w:i/>
          <w:sz w:val="24"/>
          <w:szCs w:val="24"/>
        </w:rPr>
        <w:t xml:space="preserve">Thank you for this </w:t>
      </w:r>
      <w:r w:rsidR="00612447">
        <w:rPr>
          <w:rFonts w:ascii="Times New Roman" w:hAnsi="Times New Roman" w:cs="Times New Roman"/>
          <w:i/>
          <w:sz w:val="24"/>
          <w:szCs w:val="24"/>
        </w:rPr>
        <w:t>comment</w:t>
      </w:r>
      <w:r w:rsidRPr="005977DB">
        <w:rPr>
          <w:rFonts w:ascii="Times New Roman" w:hAnsi="Times New Roman" w:cs="Times New Roman"/>
          <w:i/>
          <w:sz w:val="24"/>
          <w:szCs w:val="24"/>
        </w:rPr>
        <w:t xml:space="preserve">. The number of active mortgages is not readily available to be used as the denominator for foreclosure rate. Therefore, we added language to the limitation section about the use of the number of residential parcels as the denominator in our foreclosure rate calculation. </w:t>
      </w:r>
      <w:r w:rsidR="0033166F">
        <w:rPr>
          <w:rFonts w:ascii="Times New Roman" w:hAnsi="Times New Roman" w:cs="Times New Roman"/>
          <w:i/>
          <w:sz w:val="24"/>
          <w:szCs w:val="24"/>
        </w:rPr>
        <w:t>We note that</w:t>
      </w:r>
      <w:r w:rsidRPr="005977DB">
        <w:rPr>
          <w:rFonts w:ascii="Times New Roman" w:hAnsi="Times New Roman" w:cs="Times New Roman"/>
          <w:i/>
          <w:sz w:val="24"/>
          <w:szCs w:val="24"/>
        </w:rPr>
        <w:t xml:space="preserve"> </w:t>
      </w:r>
      <w:r w:rsidR="00612447">
        <w:rPr>
          <w:rFonts w:ascii="Times New Roman" w:hAnsi="Times New Roman" w:cs="Times New Roman"/>
          <w:i/>
          <w:sz w:val="24"/>
          <w:szCs w:val="24"/>
        </w:rPr>
        <w:t>extant</w:t>
      </w:r>
      <w:r w:rsidR="00612447" w:rsidRPr="005977DB">
        <w:rPr>
          <w:rFonts w:ascii="Times New Roman" w:hAnsi="Times New Roman" w:cs="Times New Roman"/>
          <w:i/>
          <w:sz w:val="24"/>
          <w:szCs w:val="24"/>
        </w:rPr>
        <w:t xml:space="preserve"> </w:t>
      </w:r>
      <w:r w:rsidRPr="005977DB">
        <w:rPr>
          <w:rFonts w:ascii="Times New Roman" w:hAnsi="Times New Roman" w:cs="Times New Roman"/>
          <w:i/>
          <w:sz w:val="24"/>
          <w:szCs w:val="24"/>
        </w:rPr>
        <w:t>literature</w:t>
      </w:r>
      <w:r w:rsidR="00C33FE2" w:rsidRPr="005977DB">
        <w:rPr>
          <w:rFonts w:ascii="Times New Roman" w:hAnsi="Times New Roman" w:cs="Times New Roman"/>
          <w:i/>
          <w:sz w:val="24"/>
          <w:szCs w:val="24"/>
        </w:rPr>
        <w:t xml:space="preserve"> that </w:t>
      </w:r>
      <w:r w:rsidR="00612447">
        <w:rPr>
          <w:rFonts w:ascii="Times New Roman" w:hAnsi="Times New Roman" w:cs="Times New Roman"/>
          <w:i/>
          <w:sz w:val="24"/>
          <w:szCs w:val="24"/>
        </w:rPr>
        <w:t xml:space="preserve">has </w:t>
      </w:r>
      <w:r w:rsidR="00C33FE2" w:rsidRPr="005977DB">
        <w:rPr>
          <w:rFonts w:ascii="Times New Roman" w:hAnsi="Times New Roman" w:cs="Times New Roman"/>
          <w:i/>
          <w:sz w:val="24"/>
          <w:szCs w:val="24"/>
        </w:rPr>
        <w:t xml:space="preserve">studied the association between foreclosure rates and different types of violence </w:t>
      </w:r>
      <w:r w:rsidR="0033166F">
        <w:rPr>
          <w:rFonts w:ascii="Times New Roman" w:hAnsi="Times New Roman" w:cs="Times New Roman"/>
          <w:i/>
          <w:sz w:val="24"/>
          <w:szCs w:val="24"/>
        </w:rPr>
        <w:t xml:space="preserve">has </w:t>
      </w:r>
      <w:r w:rsidR="00C33FE2" w:rsidRPr="005E374F">
        <w:rPr>
          <w:rFonts w:ascii="Times New Roman" w:hAnsi="Times New Roman" w:cs="Times New Roman"/>
          <w:i/>
          <w:sz w:val="24"/>
          <w:szCs w:val="24"/>
        </w:rPr>
        <w:t xml:space="preserve">used a similar denominator </w:t>
      </w:r>
      <w:r w:rsidR="00612447">
        <w:rPr>
          <w:rFonts w:ascii="Times New Roman" w:hAnsi="Times New Roman" w:cs="Times New Roman"/>
          <w:i/>
          <w:sz w:val="24"/>
          <w:szCs w:val="24"/>
        </w:rPr>
        <w:t>as</w:t>
      </w:r>
      <w:r w:rsidR="00C33FE2" w:rsidRPr="005E374F">
        <w:rPr>
          <w:rFonts w:ascii="Times New Roman" w:hAnsi="Times New Roman" w:cs="Times New Roman"/>
          <w:i/>
          <w:sz w:val="24"/>
          <w:szCs w:val="24"/>
        </w:rPr>
        <w:t xml:space="preserve"> our study</w:t>
      </w:r>
      <w:r w:rsidR="00612447">
        <w:rPr>
          <w:rFonts w:ascii="Times New Roman" w:hAnsi="Times New Roman" w:cs="Times New Roman"/>
          <w:i/>
          <w:sz w:val="24"/>
          <w:szCs w:val="24"/>
        </w:rPr>
        <w:t>:</w:t>
      </w:r>
      <w:r w:rsidR="00C33FE2" w:rsidRPr="005E374F">
        <w:rPr>
          <w:rFonts w:ascii="Times New Roman" w:hAnsi="Times New Roman" w:cs="Times New Roman"/>
          <w:i/>
          <w:sz w:val="24"/>
          <w:szCs w:val="24"/>
        </w:rPr>
        <w:t xml:space="preserve"> housing units.</w:t>
      </w:r>
      <w:r w:rsidR="00A56207" w:rsidRPr="005E374F">
        <w:rPr>
          <w:rFonts w:ascii="Times New Roman" w:hAnsi="Times New Roman" w:cs="Times New Roman"/>
          <w:i/>
          <w:sz w:val="24"/>
          <w:szCs w:val="24"/>
          <w:vertAlign w:val="superscript"/>
        </w:rPr>
        <w:t>2-6</w:t>
      </w:r>
      <w:r w:rsidR="00C33FE2" w:rsidRPr="005E374F">
        <w:rPr>
          <w:rFonts w:ascii="Times New Roman" w:hAnsi="Times New Roman" w:cs="Times New Roman"/>
          <w:i/>
          <w:sz w:val="24"/>
          <w:szCs w:val="24"/>
          <w:vertAlign w:val="superscript"/>
        </w:rPr>
        <w:t xml:space="preserve"> </w:t>
      </w:r>
      <w:r w:rsidR="0033166F">
        <w:rPr>
          <w:rFonts w:ascii="Times New Roman" w:hAnsi="Times New Roman" w:cs="Times New Roman"/>
          <w:i/>
          <w:sz w:val="24"/>
          <w:szCs w:val="24"/>
        </w:rPr>
        <w:t xml:space="preserve">Thus, although we acknowledge that this denominator is not ideal, given lack of availability of active mortgage data, it seems to be in line with the body of literature. </w:t>
      </w:r>
    </w:p>
    <w:p w14:paraId="5889A624" w14:textId="03891E6A" w:rsidR="001264D3" w:rsidRPr="005977DB" w:rsidRDefault="001264D3" w:rsidP="00BB25A2">
      <w:pPr>
        <w:ind w:left="720"/>
        <w:rPr>
          <w:rFonts w:ascii="Times New Roman" w:hAnsi="Times New Roman" w:cs="Times New Roman"/>
          <w:i/>
          <w:sz w:val="24"/>
          <w:szCs w:val="24"/>
        </w:rPr>
      </w:pPr>
      <w:r w:rsidRPr="005E374F">
        <w:rPr>
          <w:rFonts w:ascii="Times New Roman" w:hAnsi="Times New Roman" w:cs="Times New Roman"/>
          <w:i/>
          <w:sz w:val="24"/>
          <w:szCs w:val="24"/>
          <w:highlight w:val="yellow"/>
        </w:rPr>
        <w:t>“</w:t>
      </w:r>
      <w:r w:rsidRPr="005E374F">
        <w:rPr>
          <w:rFonts w:ascii="Times New Roman" w:eastAsia="Times New Roman" w:hAnsi="Times New Roman" w:cs="Times New Roman"/>
          <w:i/>
          <w:sz w:val="24"/>
          <w:szCs w:val="24"/>
          <w:highlight w:val="yellow"/>
        </w:rPr>
        <w:t xml:space="preserve">Seventh, the denominator for foreclosure rate, residential parcels, includes those </w:t>
      </w:r>
      <w:r w:rsidRPr="005977DB">
        <w:rPr>
          <w:rFonts w:ascii="Times New Roman" w:eastAsia="Times New Roman" w:hAnsi="Times New Roman" w:cs="Times New Roman"/>
          <w:i/>
          <w:sz w:val="24"/>
          <w:szCs w:val="24"/>
          <w:highlight w:val="yellow"/>
        </w:rPr>
        <w:t>who may not have a mortgage on their house. In spite of this</w:t>
      </w:r>
      <w:r w:rsidR="0033166F">
        <w:rPr>
          <w:rFonts w:ascii="Times New Roman" w:eastAsia="Times New Roman" w:hAnsi="Times New Roman" w:cs="Times New Roman"/>
          <w:i/>
          <w:sz w:val="24"/>
          <w:szCs w:val="24"/>
          <w:highlight w:val="yellow"/>
        </w:rPr>
        <w:t xml:space="preserve"> limitation</w:t>
      </w:r>
      <w:r w:rsidRPr="005977DB">
        <w:rPr>
          <w:rFonts w:ascii="Times New Roman" w:eastAsia="Times New Roman" w:hAnsi="Times New Roman" w:cs="Times New Roman"/>
          <w:i/>
          <w:sz w:val="24"/>
          <w:szCs w:val="24"/>
          <w:highlight w:val="yellow"/>
        </w:rPr>
        <w:t xml:space="preserve">, there is existing literature supporting this type of population denominator to study the association between foreclosure rates and </w:t>
      </w:r>
      <w:r w:rsidRPr="00D110B9">
        <w:rPr>
          <w:rFonts w:ascii="Times New Roman" w:eastAsia="Times New Roman" w:hAnsi="Times New Roman" w:cs="Times New Roman"/>
          <w:i/>
          <w:sz w:val="24"/>
          <w:szCs w:val="24"/>
          <w:highlight w:val="yellow"/>
        </w:rPr>
        <w:t>violence.</w:t>
      </w:r>
      <w:r w:rsidR="00D110B9" w:rsidRPr="00D110B9">
        <w:rPr>
          <w:rFonts w:ascii="Times New Roman" w:eastAsia="Times New Roman" w:hAnsi="Times New Roman" w:cs="Times New Roman"/>
          <w:i/>
          <w:sz w:val="24"/>
          <w:szCs w:val="24"/>
          <w:highlight w:val="yellow"/>
          <w:vertAlign w:val="superscript"/>
        </w:rPr>
        <w:t>14,86,87”</w:t>
      </w:r>
    </w:p>
    <w:p w14:paraId="39167FCC" w14:textId="3E0AB74E" w:rsidR="008372FB" w:rsidRPr="00D06F08" w:rsidRDefault="008372FB" w:rsidP="00B84154">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It would be informative for interpreting the violence subtype results to include distributions of children and seniors who would be potential victims of child abuse or elder abuse in table 1. For example, are the proportions of children similar between treated and control counties? Likewise, it is not clear whether the violence subtype analyses used total county population as denominators, or if the county child or senior population was used as the denominator. The latter is the appropriate measure when the age distribution differs across counties. Similarly, the denominator of the rate of intimate partner violence should not include children.</w:t>
      </w:r>
    </w:p>
    <w:p w14:paraId="360B442E" w14:textId="3754A56D" w:rsidR="00D06F08" w:rsidRPr="005977DB" w:rsidRDefault="00D06F08" w:rsidP="00591DCB">
      <w:pPr>
        <w:ind w:firstLine="720"/>
        <w:rPr>
          <w:rFonts w:ascii="Times New Roman" w:hAnsi="Times New Roman" w:cs="Times New Roman"/>
          <w:i/>
          <w:sz w:val="24"/>
          <w:szCs w:val="24"/>
        </w:rPr>
      </w:pPr>
      <w:r w:rsidRPr="005977DB">
        <w:rPr>
          <w:rFonts w:ascii="Times New Roman" w:hAnsi="Times New Roman" w:cs="Times New Roman"/>
          <w:i/>
          <w:sz w:val="24"/>
          <w:szCs w:val="24"/>
        </w:rPr>
        <w:t>We</w:t>
      </w:r>
      <w:r w:rsidR="0033166F">
        <w:rPr>
          <w:rFonts w:ascii="Times New Roman" w:hAnsi="Times New Roman" w:cs="Times New Roman"/>
          <w:i/>
          <w:sz w:val="24"/>
          <w:szCs w:val="24"/>
        </w:rPr>
        <w:t xml:space="preserve"> appreciate this point and have</w:t>
      </w:r>
      <w:r w:rsidRPr="005977DB">
        <w:rPr>
          <w:rFonts w:ascii="Times New Roman" w:hAnsi="Times New Roman" w:cs="Times New Roman"/>
          <w:i/>
          <w:sz w:val="24"/>
          <w:szCs w:val="24"/>
        </w:rPr>
        <w:t xml:space="preserve"> added the </w:t>
      </w:r>
      <w:r w:rsidR="00851569" w:rsidRPr="005977DB">
        <w:rPr>
          <w:rFonts w:ascii="Times New Roman" w:hAnsi="Times New Roman" w:cs="Times New Roman"/>
          <w:i/>
          <w:sz w:val="24"/>
          <w:szCs w:val="24"/>
        </w:rPr>
        <w:t>percent</w:t>
      </w:r>
      <w:r w:rsidRPr="005977DB">
        <w:rPr>
          <w:rFonts w:ascii="Times New Roman" w:hAnsi="Times New Roman" w:cs="Times New Roman"/>
          <w:i/>
          <w:sz w:val="24"/>
          <w:szCs w:val="24"/>
        </w:rPr>
        <w:t xml:space="preserve"> of children and seniors in Table 1.</w:t>
      </w:r>
    </w:p>
    <w:p w14:paraId="14DCAF6C" w14:textId="237E2B44" w:rsidR="00B84154" w:rsidRPr="00B243EC" w:rsidRDefault="00E70602" w:rsidP="00E70602">
      <w:pPr>
        <w:ind w:left="720"/>
        <w:rPr>
          <w:rFonts w:ascii="Times New Roman" w:hAnsi="Times New Roman" w:cs="Times New Roman"/>
          <w:i/>
          <w:sz w:val="24"/>
          <w:szCs w:val="24"/>
        </w:rPr>
      </w:pPr>
      <w:r w:rsidRPr="005977DB">
        <w:rPr>
          <w:rFonts w:ascii="Times New Roman" w:hAnsi="Times New Roman" w:cs="Times New Roman"/>
          <w:i/>
          <w:sz w:val="24"/>
          <w:szCs w:val="24"/>
        </w:rPr>
        <w:t xml:space="preserve">The violence subtypes </w:t>
      </w:r>
      <w:r w:rsidR="00737C2C" w:rsidRPr="005977DB">
        <w:rPr>
          <w:rFonts w:ascii="Times New Roman" w:hAnsi="Times New Roman" w:cs="Times New Roman"/>
          <w:i/>
          <w:sz w:val="24"/>
          <w:szCs w:val="24"/>
        </w:rPr>
        <w:t xml:space="preserve">analyses </w:t>
      </w:r>
      <w:r w:rsidRPr="005977DB">
        <w:rPr>
          <w:rFonts w:ascii="Times New Roman" w:hAnsi="Times New Roman" w:cs="Times New Roman"/>
          <w:i/>
          <w:sz w:val="24"/>
          <w:szCs w:val="24"/>
        </w:rPr>
        <w:t>used county age-appropriate population denominators</w:t>
      </w:r>
      <w:r w:rsidR="00DC2365">
        <w:rPr>
          <w:rFonts w:ascii="Times New Roman" w:hAnsi="Times New Roman" w:cs="Times New Roman"/>
          <w:i/>
          <w:sz w:val="24"/>
          <w:szCs w:val="24"/>
        </w:rPr>
        <w:t xml:space="preserve"> for each violence subgroup</w:t>
      </w:r>
      <w:r w:rsidRPr="005977DB">
        <w:rPr>
          <w:rFonts w:ascii="Times New Roman" w:hAnsi="Times New Roman" w:cs="Times New Roman"/>
          <w:i/>
          <w:sz w:val="24"/>
          <w:szCs w:val="24"/>
        </w:rPr>
        <w:t xml:space="preserve">. </w:t>
      </w:r>
      <w:r w:rsidR="00D06F08" w:rsidRPr="005977DB">
        <w:rPr>
          <w:rFonts w:ascii="Times New Roman" w:hAnsi="Times New Roman" w:cs="Times New Roman"/>
          <w:i/>
          <w:sz w:val="24"/>
          <w:szCs w:val="24"/>
        </w:rPr>
        <w:t>We</w:t>
      </w:r>
      <w:r w:rsidR="00B84154" w:rsidRPr="005977DB">
        <w:rPr>
          <w:rFonts w:ascii="Times New Roman" w:hAnsi="Times New Roman" w:cs="Times New Roman"/>
          <w:i/>
          <w:sz w:val="24"/>
          <w:szCs w:val="24"/>
        </w:rPr>
        <w:t xml:space="preserve"> </w:t>
      </w:r>
      <w:r w:rsidR="0033166F">
        <w:rPr>
          <w:rFonts w:ascii="Times New Roman" w:hAnsi="Times New Roman" w:cs="Times New Roman"/>
          <w:i/>
          <w:sz w:val="24"/>
          <w:szCs w:val="24"/>
        </w:rPr>
        <w:t>have clarified this</w:t>
      </w:r>
      <w:r w:rsidR="00D06F08" w:rsidRPr="005977DB">
        <w:rPr>
          <w:rFonts w:ascii="Times New Roman" w:hAnsi="Times New Roman" w:cs="Times New Roman"/>
          <w:i/>
          <w:sz w:val="24"/>
          <w:szCs w:val="24"/>
        </w:rPr>
        <w:t xml:space="preserve"> in the methods section</w:t>
      </w:r>
      <w:r w:rsidR="0033166F">
        <w:rPr>
          <w:rFonts w:ascii="Times New Roman" w:hAnsi="Times New Roman" w:cs="Times New Roman"/>
          <w:i/>
          <w:sz w:val="24"/>
          <w:szCs w:val="24"/>
        </w:rPr>
        <w:t>:</w:t>
      </w:r>
      <w:r w:rsidRPr="00B243EC">
        <w:rPr>
          <w:rFonts w:ascii="Times New Roman" w:hAnsi="Times New Roman" w:cs="Times New Roman"/>
          <w:i/>
          <w:sz w:val="24"/>
          <w:szCs w:val="24"/>
        </w:rPr>
        <w:t xml:space="preserve"> </w:t>
      </w:r>
    </w:p>
    <w:p w14:paraId="0FCEDCC6" w14:textId="3070F895" w:rsidR="005754F5" w:rsidRPr="00B243EC" w:rsidRDefault="00737C2C" w:rsidP="00E70602">
      <w:pPr>
        <w:ind w:left="720"/>
        <w:rPr>
          <w:rFonts w:ascii="Times New Roman" w:hAnsi="Times New Roman" w:cs="Times New Roman"/>
          <w:i/>
          <w:sz w:val="24"/>
          <w:szCs w:val="24"/>
        </w:rPr>
      </w:pPr>
      <w:r w:rsidRPr="00B243EC">
        <w:rPr>
          <w:rFonts w:ascii="Times New Roman" w:eastAsia="Times New Roman" w:hAnsi="Times New Roman" w:cs="Times New Roman"/>
          <w:i/>
          <w:color w:val="000000"/>
          <w:sz w:val="24"/>
          <w:szCs w:val="24"/>
          <w:highlight w:val="yellow"/>
        </w:rPr>
        <w:t>“</w:t>
      </w:r>
      <w:r w:rsidR="005754F5" w:rsidRPr="00B243EC">
        <w:rPr>
          <w:rFonts w:ascii="Times New Roman" w:eastAsia="Times New Roman" w:hAnsi="Times New Roman" w:cs="Times New Roman"/>
          <w:i/>
          <w:color w:val="000000"/>
          <w:sz w:val="24"/>
          <w:szCs w:val="24"/>
          <w:highlight w:val="yellow"/>
        </w:rPr>
        <w:t>The following denominators were used for each violence subtype: age 0 to 17 for child abuse, 65 plus for elder abuse, and 16 plus for intimate partner violence.</w:t>
      </w:r>
      <w:r w:rsidRPr="00B243EC">
        <w:rPr>
          <w:rFonts w:ascii="Times New Roman" w:eastAsia="Times New Roman" w:hAnsi="Times New Roman" w:cs="Times New Roman"/>
          <w:i/>
          <w:color w:val="000000"/>
          <w:sz w:val="24"/>
          <w:szCs w:val="24"/>
        </w:rPr>
        <w:t>”</w:t>
      </w:r>
    </w:p>
    <w:p w14:paraId="2F318A3B" w14:textId="10452755" w:rsidR="008372FB" w:rsidRPr="00D06F08" w:rsidRDefault="008372FB" w:rsidP="00B84154">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 xml:space="preserve">It is unclear why the authors used average violence rates every 2 years rather than using every year. The data include few pre- </w:t>
      </w:r>
      <w:proofErr w:type="gramStart"/>
      <w:r w:rsidRPr="00D06F08">
        <w:rPr>
          <w:rFonts w:ascii="Times New Roman" w:hAnsi="Times New Roman" w:cs="Times New Roman"/>
          <w:sz w:val="24"/>
          <w:szCs w:val="24"/>
        </w:rPr>
        <w:t>and  post</w:t>
      </w:r>
      <w:proofErr w:type="gramEnd"/>
      <w:r w:rsidRPr="00D06F08">
        <w:rPr>
          <w:rFonts w:ascii="Times New Roman" w:hAnsi="Times New Roman" w:cs="Times New Roman"/>
          <w:sz w:val="24"/>
          <w:szCs w:val="24"/>
        </w:rPr>
        <w:t xml:space="preserve">-  data points, and the analysis method accounts for random error in the regression step. Please justify why using data every 2 years, and thus sacrificing data points in order to reduce noise, would </w:t>
      </w:r>
      <w:proofErr w:type="gramStart"/>
      <w:r w:rsidRPr="00D06F08">
        <w:rPr>
          <w:rFonts w:ascii="Times New Roman" w:hAnsi="Times New Roman" w:cs="Times New Roman"/>
          <w:sz w:val="24"/>
          <w:szCs w:val="24"/>
        </w:rPr>
        <w:t>lead  to</w:t>
      </w:r>
      <w:proofErr w:type="gramEnd"/>
      <w:r w:rsidRPr="00D06F08">
        <w:rPr>
          <w:rFonts w:ascii="Times New Roman" w:hAnsi="Times New Roman" w:cs="Times New Roman"/>
          <w:sz w:val="24"/>
          <w:szCs w:val="24"/>
        </w:rPr>
        <w:t xml:space="preserve"> a better estimate than including each year of data in the model. The authors should either justify </w:t>
      </w:r>
      <w:r w:rsidRPr="00D06F08">
        <w:rPr>
          <w:rFonts w:ascii="Times New Roman" w:hAnsi="Times New Roman" w:cs="Times New Roman"/>
          <w:sz w:val="24"/>
          <w:szCs w:val="24"/>
        </w:rPr>
        <w:lastRenderedPageBreak/>
        <w:t>this choice with reference to the methodological literature, or provide a sensitivity analysis based on annual data.</w:t>
      </w:r>
    </w:p>
    <w:p w14:paraId="572A4605" w14:textId="40664C77" w:rsidR="00E27499" w:rsidRPr="005977DB" w:rsidRDefault="00E27499" w:rsidP="00AF1A20">
      <w:pPr>
        <w:spacing w:before="100" w:beforeAutospacing="1" w:after="100" w:afterAutospacing="1"/>
        <w:ind w:left="720"/>
        <w:rPr>
          <w:rFonts w:ascii="Times New Roman" w:hAnsi="Times New Roman" w:cs="Times New Roman"/>
          <w:i/>
          <w:sz w:val="24"/>
          <w:szCs w:val="24"/>
        </w:rPr>
      </w:pPr>
      <w:r w:rsidRPr="005977DB">
        <w:rPr>
          <w:rFonts w:ascii="Times New Roman" w:hAnsi="Times New Roman" w:cs="Times New Roman"/>
          <w:i/>
          <w:sz w:val="24"/>
          <w:szCs w:val="24"/>
        </w:rPr>
        <w:t xml:space="preserve">Thank you for your comment. The 2-year averaging is useful for reducing noise in the figures, and, in principle, the statistical analysis controls for noise even if we used annual data instead of 2-year averages. </w:t>
      </w:r>
      <w:r w:rsidR="00DC2365">
        <w:rPr>
          <w:rFonts w:ascii="Times New Roman" w:hAnsi="Times New Roman" w:cs="Times New Roman"/>
          <w:i/>
          <w:sz w:val="24"/>
          <w:szCs w:val="24"/>
        </w:rPr>
        <w:t>To address this concern, w</w:t>
      </w:r>
      <w:r w:rsidRPr="00776349">
        <w:rPr>
          <w:rFonts w:ascii="Times New Roman" w:hAnsi="Times New Roman" w:cs="Times New Roman"/>
          <w:i/>
          <w:sz w:val="24"/>
          <w:szCs w:val="24"/>
        </w:rPr>
        <w:t xml:space="preserve">e have </w:t>
      </w:r>
      <w:r w:rsidR="00DC2365">
        <w:rPr>
          <w:rFonts w:ascii="Times New Roman" w:hAnsi="Times New Roman" w:cs="Times New Roman"/>
          <w:i/>
          <w:sz w:val="24"/>
          <w:szCs w:val="24"/>
        </w:rPr>
        <w:t>estimated</w:t>
      </w:r>
      <w:r w:rsidR="00DC2365" w:rsidRPr="005977DB">
        <w:rPr>
          <w:rFonts w:ascii="Times New Roman" w:hAnsi="Times New Roman" w:cs="Times New Roman"/>
          <w:i/>
          <w:sz w:val="24"/>
          <w:szCs w:val="24"/>
        </w:rPr>
        <w:t xml:space="preserve"> </w:t>
      </w:r>
      <w:r w:rsidRPr="005977DB">
        <w:rPr>
          <w:rFonts w:ascii="Times New Roman" w:hAnsi="Times New Roman" w:cs="Times New Roman"/>
          <w:i/>
          <w:sz w:val="24"/>
          <w:szCs w:val="24"/>
        </w:rPr>
        <w:t xml:space="preserve">a sensitivity analysis that re-scales the year variable for comparability across models. </w:t>
      </w:r>
      <w:r w:rsidR="00AF1A20" w:rsidRPr="005977DB">
        <w:rPr>
          <w:rFonts w:ascii="Times New Roman" w:hAnsi="Times New Roman" w:cs="Times New Roman"/>
          <w:i/>
          <w:sz w:val="24"/>
          <w:szCs w:val="24"/>
        </w:rPr>
        <w:t>The results are similar across both models</w:t>
      </w:r>
      <w:r w:rsidR="00221847" w:rsidRPr="005977DB">
        <w:rPr>
          <w:rFonts w:ascii="Times New Roman" w:hAnsi="Times New Roman" w:cs="Times New Roman"/>
          <w:i/>
          <w:sz w:val="24"/>
          <w:szCs w:val="24"/>
        </w:rPr>
        <w:t xml:space="preserve"> (biannual and annual) with one ex</w:t>
      </w:r>
      <w:r w:rsidR="0033166F">
        <w:rPr>
          <w:rFonts w:ascii="Times New Roman" w:hAnsi="Times New Roman" w:cs="Times New Roman"/>
          <w:i/>
          <w:sz w:val="24"/>
          <w:szCs w:val="24"/>
        </w:rPr>
        <w:t>cep</w:t>
      </w:r>
      <w:r w:rsidR="00221847" w:rsidRPr="00776349">
        <w:rPr>
          <w:rFonts w:ascii="Times New Roman" w:hAnsi="Times New Roman" w:cs="Times New Roman"/>
          <w:i/>
          <w:sz w:val="24"/>
          <w:szCs w:val="24"/>
        </w:rPr>
        <w:t>tion</w:t>
      </w:r>
      <w:r w:rsidR="00DC2365">
        <w:rPr>
          <w:rFonts w:ascii="Times New Roman" w:hAnsi="Times New Roman" w:cs="Times New Roman"/>
          <w:i/>
          <w:sz w:val="24"/>
          <w:szCs w:val="24"/>
        </w:rPr>
        <w:t>:</w:t>
      </w:r>
      <w:r w:rsidR="00221847" w:rsidRPr="005977DB">
        <w:rPr>
          <w:rFonts w:ascii="Times New Roman" w:hAnsi="Times New Roman" w:cs="Times New Roman"/>
          <w:i/>
          <w:sz w:val="24"/>
          <w:szCs w:val="24"/>
        </w:rPr>
        <w:t xml:space="preserve"> some attenuation in the magnitude for the proxy-identified elder abuse annual trend model compared to the biannual trend model. </w:t>
      </w:r>
      <w:r w:rsidR="0033166F">
        <w:rPr>
          <w:rFonts w:ascii="Times New Roman" w:hAnsi="Times New Roman" w:cs="Times New Roman"/>
          <w:i/>
          <w:sz w:val="24"/>
          <w:szCs w:val="24"/>
        </w:rPr>
        <w:t xml:space="preserve">Elder abuse results appear to be the most sensitive to model specifications, as noted in sensitivity analyses reported above. </w:t>
      </w:r>
    </w:p>
    <w:p w14:paraId="21AD2655" w14:textId="12BA64E0" w:rsidR="009D025D" w:rsidRDefault="00B2027A" w:rsidP="009D025D">
      <w:pPr>
        <w:spacing w:before="100" w:beforeAutospacing="1" w:after="100" w:afterAutospacing="1"/>
        <w:ind w:left="720"/>
      </w:pPr>
      <w:r w:rsidRPr="00B2027A">
        <w:drawing>
          <wp:inline distT="0" distB="0" distL="0" distR="0" wp14:anchorId="5A663ECD" wp14:editId="5A99B9E9">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inline>
        </w:drawing>
      </w:r>
      <w:r w:rsidR="00182AC1">
        <w:rPr>
          <w:noProof/>
        </w:rPr>
        <w:fldChar w:fldCharType="begin"/>
      </w:r>
      <w:r w:rsidR="00182AC1">
        <w:rPr>
          <w:noProof/>
        </w:rPr>
        <w:instrText xml:space="preserve"> LINK </w:instrText>
      </w:r>
      <w:r w:rsidR="004E258C">
        <w:rPr>
          <w:noProof/>
        </w:rPr>
        <w:instrText xml:space="preserve">Excel.Sheet.12 "G:\\My Drive\\Dissertation\\Recession and Violence\\Aim 3- paper\\AJE\\R&amp;R\\Tables Dissertation Paper 3 4.20.21 _R&amp;R.xlsx" "Table R&amp;R!R50C1:R64C7" </w:instrText>
      </w:r>
      <w:r w:rsidR="00182AC1">
        <w:rPr>
          <w:noProof/>
        </w:rPr>
        <w:instrText xml:space="preserve">\a \f 4 \h  \* MERGEFORMAT </w:instrText>
      </w:r>
      <w:r w:rsidR="00182AC1">
        <w:rPr>
          <w:noProof/>
        </w:rPr>
        <w:fldChar w:fldCharType="separate"/>
      </w:r>
    </w:p>
    <w:p w14:paraId="2313C91F" w14:textId="6E2CC15E" w:rsidR="00C33FE2" w:rsidRDefault="00182AC1" w:rsidP="00221847">
      <w:p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fldChar w:fldCharType="end"/>
      </w:r>
    </w:p>
    <w:p w14:paraId="1A90BA19" w14:textId="690BA35F" w:rsidR="008372FB" w:rsidRDefault="008372FB" w:rsidP="00DB0F5C">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Factors that influence violence on a county level may be quite different from those on the individual level (</w:t>
      </w:r>
      <w:proofErr w:type="gramStart"/>
      <w:r w:rsidRPr="00D06F08">
        <w:rPr>
          <w:rFonts w:ascii="Times New Roman" w:hAnsi="Times New Roman" w:cs="Times New Roman"/>
          <w:sz w:val="24"/>
          <w:szCs w:val="24"/>
        </w:rPr>
        <w:t>e.g.</w:t>
      </w:r>
      <w:proofErr w:type="gramEnd"/>
      <w:r w:rsidRPr="00D06F08">
        <w:rPr>
          <w:rFonts w:ascii="Times New Roman" w:hAnsi="Times New Roman" w:cs="Times New Roman"/>
          <w:sz w:val="24"/>
          <w:szCs w:val="24"/>
        </w:rPr>
        <w:t xml:space="preserve"> emotional regulation, as mentioned by the authors). Since the unit of analysis is the county level, the authors’ discussion the association of economic hardship and rates of violence should focus on county level factors (</w:t>
      </w:r>
      <w:proofErr w:type="gramStart"/>
      <w:r w:rsidRPr="00D06F08">
        <w:rPr>
          <w:rFonts w:ascii="Times New Roman" w:hAnsi="Times New Roman" w:cs="Times New Roman"/>
          <w:sz w:val="24"/>
          <w:szCs w:val="24"/>
        </w:rPr>
        <w:t>e.g.</w:t>
      </w:r>
      <w:proofErr w:type="gramEnd"/>
      <w:r w:rsidRPr="00D06F08">
        <w:rPr>
          <w:rFonts w:ascii="Times New Roman" w:hAnsi="Times New Roman" w:cs="Times New Roman"/>
          <w:sz w:val="24"/>
          <w:szCs w:val="24"/>
        </w:rPr>
        <w:t xml:space="preserve"> policing policy, tax revenue) and county demographic distributions (e.g. age distribution, income inequality, unemployment rate), rather than person-level factors.</w:t>
      </w:r>
    </w:p>
    <w:p w14:paraId="7E875D75" w14:textId="706CD8AD" w:rsidR="00120EC5" w:rsidRPr="00B973A8" w:rsidRDefault="00120EC5" w:rsidP="00120EC5">
      <w:pPr>
        <w:ind w:left="720"/>
        <w:rPr>
          <w:rFonts w:ascii="Times New Roman" w:hAnsi="Times New Roman" w:cs="Times New Roman"/>
          <w:i/>
          <w:sz w:val="24"/>
          <w:szCs w:val="24"/>
        </w:rPr>
      </w:pPr>
      <w:r w:rsidRPr="005977DB">
        <w:rPr>
          <w:rFonts w:ascii="Times New Roman" w:hAnsi="Times New Roman" w:cs="Times New Roman"/>
          <w:i/>
          <w:sz w:val="24"/>
          <w:szCs w:val="24"/>
        </w:rPr>
        <w:t xml:space="preserve">We appreciate this point, and in order to focus on language on the county level factors we removed language </w:t>
      </w:r>
      <w:r w:rsidR="002473D1">
        <w:rPr>
          <w:rFonts w:ascii="Times New Roman" w:hAnsi="Times New Roman" w:cs="Times New Roman"/>
          <w:i/>
          <w:sz w:val="24"/>
          <w:szCs w:val="24"/>
        </w:rPr>
        <w:t>about</w:t>
      </w:r>
      <w:r w:rsidRPr="00B973A8">
        <w:rPr>
          <w:rFonts w:ascii="Times New Roman" w:hAnsi="Times New Roman" w:cs="Times New Roman"/>
          <w:i/>
          <w:sz w:val="24"/>
          <w:szCs w:val="24"/>
        </w:rPr>
        <w:t xml:space="preserve"> the individual factors in the introduction.</w:t>
      </w:r>
    </w:p>
    <w:p w14:paraId="3D40218E" w14:textId="573F330C" w:rsidR="008372FB" w:rsidRPr="00D06F08" w:rsidRDefault="008372FB" w:rsidP="001621C3">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lastRenderedPageBreak/>
        <w:t xml:space="preserve">There is very little detail describing the falsification test and its interpretation. As currently </w:t>
      </w:r>
      <w:proofErr w:type="gramStart"/>
      <w:r w:rsidRPr="00D06F08">
        <w:rPr>
          <w:rFonts w:ascii="Times New Roman" w:hAnsi="Times New Roman" w:cs="Times New Roman"/>
          <w:sz w:val="24"/>
          <w:szCs w:val="24"/>
        </w:rPr>
        <w:t>described</w:t>
      </w:r>
      <w:proofErr w:type="gramEnd"/>
      <w:r w:rsidRPr="00D06F08">
        <w:rPr>
          <w:rFonts w:ascii="Times New Roman" w:hAnsi="Times New Roman" w:cs="Times New Roman"/>
          <w:sz w:val="24"/>
          <w:szCs w:val="24"/>
        </w:rPr>
        <w:t xml:space="preserve"> it seems as if there is no post-period: the great recession was defined as starting in 2006 and data from 2007 onward were excluded. Please clarify.</w:t>
      </w:r>
    </w:p>
    <w:p w14:paraId="5DB3972D" w14:textId="53038B1E" w:rsidR="00597A10" w:rsidRDefault="00597A10" w:rsidP="001621C3">
      <w:pPr>
        <w:pStyle w:val="ListParagraph"/>
        <w:rPr>
          <w:rFonts w:ascii="Times New Roman" w:hAnsi="Times New Roman" w:cs="Times New Roman"/>
          <w:sz w:val="24"/>
          <w:szCs w:val="24"/>
        </w:rPr>
      </w:pPr>
    </w:p>
    <w:p w14:paraId="49FCF27D" w14:textId="1B78148D" w:rsidR="00EE5D92" w:rsidRPr="005977DB" w:rsidRDefault="00EE5D92" w:rsidP="001621C3">
      <w:pPr>
        <w:pStyle w:val="ListParagraph"/>
        <w:rPr>
          <w:rFonts w:ascii="Times New Roman" w:hAnsi="Times New Roman" w:cs="Times New Roman"/>
          <w:i/>
          <w:sz w:val="24"/>
          <w:szCs w:val="24"/>
        </w:rPr>
      </w:pPr>
      <w:r w:rsidRPr="005977DB">
        <w:rPr>
          <w:rFonts w:ascii="Times New Roman" w:hAnsi="Times New Roman" w:cs="Times New Roman"/>
          <w:i/>
          <w:sz w:val="24"/>
          <w:szCs w:val="24"/>
        </w:rPr>
        <w:t xml:space="preserve">Thank you for this comment. We have added additional detail on the falsification test </w:t>
      </w:r>
      <w:r w:rsidR="003402D1" w:rsidRPr="005977DB">
        <w:rPr>
          <w:rFonts w:ascii="Times New Roman" w:hAnsi="Times New Roman" w:cs="Times New Roman"/>
          <w:i/>
          <w:sz w:val="24"/>
          <w:szCs w:val="24"/>
        </w:rPr>
        <w:t>in the methods and results sections</w:t>
      </w:r>
      <w:r w:rsidRPr="005977DB">
        <w:rPr>
          <w:rFonts w:ascii="Times New Roman" w:hAnsi="Times New Roman" w:cs="Times New Roman"/>
          <w:i/>
          <w:sz w:val="24"/>
          <w:szCs w:val="24"/>
        </w:rPr>
        <w:t>.</w:t>
      </w:r>
      <w:r w:rsidR="00365E6D" w:rsidRPr="005977DB">
        <w:rPr>
          <w:rFonts w:ascii="Times New Roman" w:hAnsi="Times New Roman" w:cs="Times New Roman"/>
          <w:i/>
          <w:sz w:val="24"/>
          <w:szCs w:val="24"/>
        </w:rPr>
        <w:t xml:space="preserve"> </w:t>
      </w:r>
      <w:r w:rsidRPr="005977DB">
        <w:rPr>
          <w:rFonts w:ascii="Times New Roman" w:hAnsi="Times New Roman" w:cs="Times New Roman"/>
          <w:i/>
          <w:sz w:val="24"/>
          <w:szCs w:val="24"/>
        </w:rPr>
        <w:t xml:space="preserve"> </w:t>
      </w:r>
    </w:p>
    <w:p w14:paraId="39DC15E9" w14:textId="349D9500" w:rsidR="00EE5D92" w:rsidRPr="005977DB" w:rsidRDefault="00EE5D92" w:rsidP="001621C3">
      <w:pPr>
        <w:pStyle w:val="ListParagraph"/>
        <w:rPr>
          <w:rFonts w:ascii="Times New Roman" w:hAnsi="Times New Roman" w:cs="Times New Roman"/>
          <w:i/>
          <w:sz w:val="24"/>
          <w:szCs w:val="24"/>
        </w:rPr>
      </w:pPr>
    </w:p>
    <w:p w14:paraId="1C6A02F0" w14:textId="235EF1BE" w:rsidR="00A56207" w:rsidRPr="005977DB" w:rsidRDefault="00A56207" w:rsidP="001621C3">
      <w:pPr>
        <w:pStyle w:val="ListParagraph"/>
        <w:rPr>
          <w:rFonts w:ascii="Times New Roman" w:hAnsi="Times New Roman" w:cs="Times New Roman"/>
          <w:i/>
          <w:sz w:val="24"/>
          <w:szCs w:val="24"/>
        </w:rPr>
      </w:pPr>
      <w:r w:rsidRPr="005977DB">
        <w:rPr>
          <w:rFonts w:ascii="Times New Roman" w:hAnsi="Times New Roman" w:cs="Times New Roman"/>
          <w:i/>
          <w:sz w:val="24"/>
          <w:szCs w:val="24"/>
        </w:rPr>
        <w:t>Methods:</w:t>
      </w:r>
    </w:p>
    <w:p w14:paraId="273553D7" w14:textId="48ED1850" w:rsidR="00EE5D92" w:rsidRPr="005977DB" w:rsidRDefault="00EE5D92" w:rsidP="001621C3">
      <w:pPr>
        <w:pStyle w:val="ListParagraph"/>
        <w:rPr>
          <w:rFonts w:ascii="Times New Roman" w:hAnsi="Times New Roman" w:cs="Times New Roman"/>
          <w:bCs/>
          <w:i/>
          <w:sz w:val="24"/>
          <w:szCs w:val="24"/>
        </w:rPr>
      </w:pPr>
      <w:r w:rsidRPr="005977DB">
        <w:rPr>
          <w:rFonts w:ascii="Times New Roman" w:hAnsi="Times New Roman" w:cs="Times New Roman"/>
          <w:i/>
          <w:sz w:val="24"/>
          <w:szCs w:val="24"/>
        </w:rPr>
        <w:t>“</w:t>
      </w:r>
      <w:r w:rsidRPr="005977DB">
        <w:rPr>
          <w:rFonts w:ascii="Times New Roman" w:hAnsi="Times New Roman" w:cs="Times New Roman"/>
          <w:bCs/>
          <w:i/>
          <w:sz w:val="24"/>
          <w:szCs w:val="24"/>
        </w:rPr>
        <w:t>Fourth, a falsification test was run</w:t>
      </w:r>
      <w:r w:rsidR="00711972" w:rsidRPr="005977DB">
        <w:rPr>
          <w:rFonts w:ascii="Times New Roman" w:hAnsi="Times New Roman" w:cs="Times New Roman"/>
          <w:bCs/>
          <w:i/>
          <w:sz w:val="24"/>
          <w:szCs w:val="24"/>
        </w:rPr>
        <w:t xml:space="preserve"> </w:t>
      </w:r>
      <w:r w:rsidR="00711972" w:rsidRPr="005977DB">
        <w:rPr>
          <w:rFonts w:ascii="Times New Roman" w:hAnsi="Times New Roman" w:cs="Times New Roman"/>
          <w:bCs/>
          <w:i/>
          <w:sz w:val="24"/>
          <w:szCs w:val="24"/>
          <w:highlight w:val="yellow"/>
        </w:rPr>
        <w:t>using data from 2004-2006</w:t>
      </w:r>
      <w:r w:rsidRPr="005977DB">
        <w:rPr>
          <w:rFonts w:ascii="Times New Roman" w:hAnsi="Times New Roman" w:cs="Times New Roman"/>
          <w:bCs/>
          <w:i/>
          <w:sz w:val="24"/>
          <w:szCs w:val="24"/>
          <w:highlight w:val="yellow"/>
        </w:rPr>
        <w:t>.</w:t>
      </w:r>
      <w:r w:rsidRPr="005977DB">
        <w:rPr>
          <w:rFonts w:ascii="Times New Roman" w:hAnsi="Times New Roman" w:cs="Times New Roman"/>
          <w:bCs/>
          <w:i/>
          <w:sz w:val="24"/>
          <w:szCs w:val="24"/>
        </w:rPr>
        <w:t xml:space="preserve"> Specifically, the main analysis was repeated but with shifting the beginning of the </w:t>
      </w:r>
      <w:r w:rsidR="00711972" w:rsidRPr="005977DB">
        <w:rPr>
          <w:rFonts w:ascii="Times New Roman" w:hAnsi="Times New Roman" w:cs="Times New Roman"/>
          <w:bCs/>
          <w:i/>
          <w:sz w:val="24"/>
          <w:szCs w:val="24"/>
          <w:highlight w:val="yellow"/>
        </w:rPr>
        <w:t>simulated</w:t>
      </w:r>
      <w:r w:rsidR="00711972" w:rsidRPr="005977DB">
        <w:rPr>
          <w:rFonts w:ascii="Times New Roman" w:hAnsi="Times New Roman" w:cs="Times New Roman"/>
          <w:bCs/>
          <w:i/>
          <w:sz w:val="24"/>
          <w:szCs w:val="24"/>
        </w:rPr>
        <w:t xml:space="preserve"> </w:t>
      </w:r>
      <w:r w:rsidRPr="005977DB">
        <w:rPr>
          <w:rFonts w:ascii="Times New Roman" w:hAnsi="Times New Roman" w:cs="Times New Roman"/>
          <w:bCs/>
          <w:i/>
          <w:sz w:val="24"/>
          <w:szCs w:val="24"/>
        </w:rPr>
        <w:t xml:space="preserve">Great Recession to occur in 2006 and excluding 2007 and beyond from this analysis </w:t>
      </w:r>
      <w:r w:rsidRPr="005977DB">
        <w:rPr>
          <w:rFonts w:ascii="Times New Roman" w:hAnsi="Times New Roman" w:cs="Times New Roman"/>
          <w:bCs/>
          <w:i/>
          <w:sz w:val="24"/>
          <w:szCs w:val="24"/>
          <w:highlight w:val="yellow"/>
        </w:rPr>
        <w:t xml:space="preserve">to remove the </w:t>
      </w:r>
      <w:r w:rsidR="00711972" w:rsidRPr="005977DB">
        <w:rPr>
          <w:rFonts w:ascii="Times New Roman" w:hAnsi="Times New Roman" w:cs="Times New Roman"/>
          <w:bCs/>
          <w:i/>
          <w:sz w:val="24"/>
          <w:szCs w:val="24"/>
          <w:highlight w:val="yellow"/>
        </w:rPr>
        <w:t xml:space="preserve">actual </w:t>
      </w:r>
      <w:r w:rsidRPr="005977DB">
        <w:rPr>
          <w:rFonts w:ascii="Times New Roman" w:hAnsi="Times New Roman" w:cs="Times New Roman"/>
          <w:bCs/>
          <w:i/>
          <w:sz w:val="24"/>
          <w:szCs w:val="24"/>
          <w:highlight w:val="yellow"/>
        </w:rPr>
        <w:t xml:space="preserve">Great Recession timeframe from this </w:t>
      </w:r>
      <w:r w:rsidR="00A94D9E" w:rsidRPr="005977DB">
        <w:rPr>
          <w:rFonts w:ascii="Times New Roman" w:hAnsi="Times New Roman" w:cs="Times New Roman"/>
          <w:bCs/>
          <w:i/>
          <w:sz w:val="24"/>
          <w:szCs w:val="24"/>
          <w:highlight w:val="yellow"/>
        </w:rPr>
        <w:t>test</w:t>
      </w:r>
      <w:r w:rsidRPr="005977DB">
        <w:rPr>
          <w:rFonts w:ascii="Times New Roman" w:hAnsi="Times New Roman" w:cs="Times New Roman"/>
          <w:bCs/>
          <w:i/>
          <w:sz w:val="24"/>
          <w:szCs w:val="24"/>
        </w:rPr>
        <w:t>.”</w:t>
      </w:r>
    </w:p>
    <w:p w14:paraId="36D5C2CB" w14:textId="77777777" w:rsidR="00A56207" w:rsidRPr="005977DB" w:rsidRDefault="00A56207" w:rsidP="001621C3">
      <w:pPr>
        <w:pStyle w:val="ListParagraph"/>
        <w:rPr>
          <w:rFonts w:ascii="Times New Roman" w:hAnsi="Times New Roman" w:cs="Times New Roman"/>
          <w:bCs/>
          <w:i/>
          <w:sz w:val="24"/>
          <w:szCs w:val="24"/>
        </w:rPr>
      </w:pPr>
    </w:p>
    <w:p w14:paraId="724DAE62" w14:textId="61633ADB" w:rsidR="00711972" w:rsidRPr="005977DB" w:rsidRDefault="00A56207" w:rsidP="001621C3">
      <w:pPr>
        <w:pStyle w:val="ListParagraph"/>
        <w:rPr>
          <w:rFonts w:ascii="Times New Roman" w:hAnsi="Times New Roman" w:cs="Times New Roman"/>
          <w:bCs/>
          <w:i/>
          <w:sz w:val="24"/>
          <w:szCs w:val="24"/>
        </w:rPr>
      </w:pPr>
      <w:r w:rsidRPr="005977DB">
        <w:rPr>
          <w:rFonts w:ascii="Times New Roman" w:hAnsi="Times New Roman" w:cs="Times New Roman"/>
          <w:bCs/>
          <w:i/>
          <w:sz w:val="24"/>
          <w:szCs w:val="24"/>
        </w:rPr>
        <w:t>Results:</w:t>
      </w:r>
    </w:p>
    <w:p w14:paraId="7823FE8C" w14:textId="124FC75C" w:rsidR="00711972" w:rsidRPr="005977DB" w:rsidRDefault="005520EA" w:rsidP="001621C3">
      <w:pPr>
        <w:pStyle w:val="ListParagraph"/>
        <w:rPr>
          <w:rFonts w:ascii="Times New Roman" w:hAnsi="Times New Roman" w:cs="Times New Roman"/>
          <w:i/>
          <w:sz w:val="24"/>
          <w:szCs w:val="24"/>
        </w:rPr>
      </w:pPr>
      <w:r>
        <w:rPr>
          <w:rFonts w:ascii="Times New Roman" w:hAnsi="Times New Roman" w:cs="Times New Roman"/>
          <w:bCs/>
          <w:i/>
          <w:sz w:val="24"/>
          <w:szCs w:val="24"/>
        </w:rPr>
        <w:t>“</w:t>
      </w:r>
      <w:r w:rsidR="00711972" w:rsidRPr="005977DB">
        <w:rPr>
          <w:rFonts w:ascii="Times New Roman" w:hAnsi="Times New Roman" w:cs="Times New Roman"/>
          <w:bCs/>
          <w:i/>
          <w:sz w:val="24"/>
          <w:szCs w:val="24"/>
        </w:rPr>
        <w:t xml:space="preserve">Finally, the falsification sensitivity analysis found that the association between the impact of the </w:t>
      </w:r>
      <w:r w:rsidR="00FE4F41">
        <w:rPr>
          <w:rFonts w:ascii="Times New Roman" w:hAnsi="Times New Roman" w:cs="Times New Roman"/>
          <w:bCs/>
          <w:i/>
          <w:sz w:val="24"/>
          <w:szCs w:val="24"/>
        </w:rPr>
        <w:t xml:space="preserve">simulated </w:t>
      </w:r>
      <w:r w:rsidR="00711972" w:rsidRPr="005977DB">
        <w:rPr>
          <w:rFonts w:ascii="Times New Roman" w:hAnsi="Times New Roman" w:cs="Times New Roman"/>
          <w:bCs/>
          <w:i/>
          <w:sz w:val="24"/>
          <w:szCs w:val="24"/>
        </w:rPr>
        <w:t>Great Recession and explicit- and proxy- identified violence were close to the null</w:t>
      </w:r>
      <w:r w:rsidR="00FE4F41">
        <w:rPr>
          <w:rFonts w:ascii="Times New Roman" w:hAnsi="Times New Roman" w:cs="Times New Roman"/>
          <w:bCs/>
          <w:i/>
          <w:sz w:val="24"/>
          <w:szCs w:val="24"/>
        </w:rPr>
        <w:t xml:space="preserve">, as expected. </w:t>
      </w:r>
      <w:bookmarkStart w:id="1" w:name="_Hlk95736012"/>
      <w:r w:rsidR="00FE4F41" w:rsidRPr="005520EA">
        <w:rPr>
          <w:rFonts w:ascii="Times New Roman" w:hAnsi="Times New Roman" w:cs="Times New Roman"/>
          <w:bCs/>
          <w:i/>
          <w:sz w:val="24"/>
          <w:szCs w:val="24"/>
          <w:highlight w:val="yellow"/>
        </w:rPr>
        <w:t xml:space="preserve">One </w:t>
      </w:r>
      <w:r w:rsidR="00711972" w:rsidRPr="005520EA">
        <w:rPr>
          <w:rFonts w:ascii="Times New Roman" w:hAnsi="Times New Roman" w:cs="Times New Roman"/>
          <w:bCs/>
          <w:i/>
          <w:sz w:val="24"/>
          <w:szCs w:val="24"/>
          <w:highlight w:val="yellow"/>
        </w:rPr>
        <w:t xml:space="preserve">exception </w:t>
      </w:r>
      <w:r w:rsidR="00FE4F41" w:rsidRPr="005520EA">
        <w:rPr>
          <w:rFonts w:ascii="Times New Roman" w:hAnsi="Times New Roman" w:cs="Times New Roman"/>
          <w:bCs/>
          <w:i/>
          <w:sz w:val="24"/>
          <w:szCs w:val="24"/>
          <w:highlight w:val="yellow"/>
        </w:rPr>
        <w:t xml:space="preserve">was </w:t>
      </w:r>
      <w:r w:rsidR="00711972" w:rsidRPr="005520EA">
        <w:rPr>
          <w:rFonts w:ascii="Times New Roman" w:hAnsi="Times New Roman" w:cs="Times New Roman"/>
          <w:bCs/>
          <w:i/>
          <w:sz w:val="24"/>
          <w:szCs w:val="24"/>
          <w:highlight w:val="yellow"/>
        </w:rPr>
        <w:t>of proxy-identified elder abuse</w:t>
      </w:r>
      <w:r w:rsidR="00FE4F41" w:rsidRPr="005520EA">
        <w:rPr>
          <w:rFonts w:ascii="Times New Roman" w:hAnsi="Times New Roman" w:cs="Times New Roman"/>
          <w:bCs/>
          <w:i/>
          <w:sz w:val="24"/>
          <w:szCs w:val="24"/>
          <w:highlight w:val="yellow"/>
        </w:rPr>
        <w:t>, which indicated a positive effect of a 2006 event on rates, although</w:t>
      </w:r>
      <w:r w:rsidR="00711972" w:rsidRPr="005520EA">
        <w:rPr>
          <w:rFonts w:ascii="Times New Roman" w:hAnsi="Times New Roman" w:cs="Times New Roman"/>
          <w:bCs/>
          <w:i/>
          <w:sz w:val="24"/>
          <w:szCs w:val="24"/>
          <w:highlight w:val="yellow"/>
        </w:rPr>
        <w:t>, the magnitude of association was muted in comparison to the main analysis.</w:t>
      </w:r>
      <w:r w:rsidR="00FE4F41" w:rsidRPr="005520EA">
        <w:rPr>
          <w:rFonts w:ascii="Times New Roman" w:hAnsi="Times New Roman" w:cs="Times New Roman"/>
          <w:bCs/>
          <w:i/>
          <w:sz w:val="24"/>
          <w:szCs w:val="24"/>
          <w:highlight w:val="yellow"/>
        </w:rPr>
        <w:t xml:space="preserve"> </w:t>
      </w:r>
      <w:bookmarkEnd w:id="1"/>
    </w:p>
    <w:p w14:paraId="07D5243D" w14:textId="77777777" w:rsidR="00EE5D92" w:rsidRPr="00D06F08" w:rsidRDefault="00EE5D92" w:rsidP="001621C3">
      <w:pPr>
        <w:pStyle w:val="ListParagraph"/>
        <w:rPr>
          <w:rFonts w:ascii="Times New Roman" w:hAnsi="Times New Roman" w:cs="Times New Roman"/>
          <w:sz w:val="24"/>
          <w:szCs w:val="24"/>
        </w:rPr>
      </w:pPr>
    </w:p>
    <w:p w14:paraId="60542192" w14:textId="769784CC" w:rsidR="008372FB" w:rsidRPr="00D06F08" w:rsidRDefault="008372FB" w:rsidP="00597A10">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The final conclusions are misstated: the analysis supports the claim that the recession, as measured by foreclosure rates (or an event occurring contemporaneously with the recession, and differentially affecting county foreclosure rates), possibly led to differential county violence rates for some outcomes under the assumptions discussed. However, foreclosures were used as a measure of the recession, not the exposure themselves; the analysis was not designed to address whether foreclosures led to changes in violence rates.</w:t>
      </w:r>
    </w:p>
    <w:p w14:paraId="19A91637" w14:textId="7942D834" w:rsidR="00C6379D" w:rsidRDefault="00C6379D" w:rsidP="00C6379D">
      <w:pPr>
        <w:pStyle w:val="ListParagraph"/>
        <w:rPr>
          <w:rFonts w:ascii="Times New Roman" w:hAnsi="Times New Roman" w:cs="Times New Roman"/>
          <w:sz w:val="24"/>
          <w:szCs w:val="24"/>
        </w:rPr>
      </w:pPr>
    </w:p>
    <w:p w14:paraId="146D29EC" w14:textId="2ECA8E87" w:rsidR="00C6379D" w:rsidRPr="005977DB" w:rsidRDefault="00C6379D" w:rsidP="00C6379D">
      <w:pPr>
        <w:pStyle w:val="ListParagraph"/>
        <w:rPr>
          <w:rFonts w:ascii="Times New Roman" w:hAnsi="Times New Roman" w:cs="Times New Roman"/>
          <w:i/>
          <w:sz w:val="24"/>
          <w:szCs w:val="24"/>
        </w:rPr>
      </w:pPr>
      <w:r w:rsidRPr="005977DB">
        <w:rPr>
          <w:rFonts w:ascii="Times New Roman" w:hAnsi="Times New Roman" w:cs="Times New Roman"/>
          <w:i/>
          <w:sz w:val="24"/>
          <w:szCs w:val="24"/>
        </w:rPr>
        <w:t xml:space="preserve">We have </w:t>
      </w:r>
      <w:r w:rsidR="004369F2">
        <w:rPr>
          <w:rFonts w:ascii="Times New Roman" w:hAnsi="Times New Roman" w:cs="Times New Roman"/>
          <w:i/>
          <w:sz w:val="24"/>
          <w:szCs w:val="24"/>
        </w:rPr>
        <w:t>revised</w:t>
      </w:r>
      <w:r w:rsidR="004369F2" w:rsidRPr="005977DB">
        <w:rPr>
          <w:rFonts w:ascii="Times New Roman" w:hAnsi="Times New Roman" w:cs="Times New Roman"/>
          <w:i/>
          <w:sz w:val="24"/>
          <w:szCs w:val="24"/>
        </w:rPr>
        <w:t xml:space="preserve"> </w:t>
      </w:r>
      <w:r w:rsidRPr="005977DB">
        <w:rPr>
          <w:rFonts w:ascii="Times New Roman" w:hAnsi="Times New Roman" w:cs="Times New Roman"/>
          <w:i/>
          <w:sz w:val="24"/>
          <w:szCs w:val="24"/>
        </w:rPr>
        <w:t>the conclusion</w:t>
      </w:r>
      <w:r w:rsidR="004369F2">
        <w:rPr>
          <w:rFonts w:ascii="Times New Roman" w:hAnsi="Times New Roman" w:cs="Times New Roman"/>
          <w:i/>
          <w:sz w:val="24"/>
          <w:szCs w:val="24"/>
        </w:rPr>
        <w:t xml:space="preserve"> to incorporate this point</w:t>
      </w:r>
      <w:r w:rsidRPr="005977DB">
        <w:rPr>
          <w:rFonts w:ascii="Times New Roman" w:hAnsi="Times New Roman" w:cs="Times New Roman"/>
          <w:i/>
          <w:sz w:val="24"/>
          <w:szCs w:val="24"/>
        </w:rPr>
        <w:t xml:space="preserve">. </w:t>
      </w:r>
    </w:p>
    <w:p w14:paraId="188066FF" w14:textId="77777777" w:rsidR="00C6379D" w:rsidRDefault="00C6379D" w:rsidP="00C6379D">
      <w:pPr>
        <w:pStyle w:val="ListParagraph"/>
        <w:rPr>
          <w:rFonts w:ascii="Times New Roman" w:hAnsi="Times New Roman" w:cs="Times New Roman"/>
          <w:sz w:val="24"/>
          <w:szCs w:val="24"/>
        </w:rPr>
      </w:pPr>
    </w:p>
    <w:p w14:paraId="74CD72A9" w14:textId="23C3FFF6" w:rsidR="00C6379D" w:rsidRPr="005977DB" w:rsidRDefault="00EE5D92" w:rsidP="00C6379D">
      <w:pPr>
        <w:pStyle w:val="ListParagraph"/>
        <w:rPr>
          <w:rFonts w:ascii="Times New Roman" w:hAnsi="Times New Roman" w:cs="Times New Roman"/>
          <w:i/>
          <w:sz w:val="24"/>
          <w:szCs w:val="24"/>
        </w:rPr>
      </w:pPr>
      <w:r w:rsidRPr="005977DB">
        <w:rPr>
          <w:rFonts w:ascii="Times New Roman" w:hAnsi="Times New Roman" w:cs="Times New Roman"/>
          <w:i/>
          <w:sz w:val="24"/>
          <w:szCs w:val="24"/>
          <w:highlight w:val="yellow"/>
        </w:rPr>
        <w:t>“</w:t>
      </w:r>
      <w:r w:rsidR="00C6379D" w:rsidRPr="005977DB">
        <w:rPr>
          <w:rFonts w:ascii="Times New Roman" w:hAnsi="Times New Roman" w:cs="Times New Roman"/>
          <w:i/>
          <w:sz w:val="24"/>
          <w:szCs w:val="24"/>
          <w:highlight w:val="yellow"/>
        </w:rPr>
        <w:t>In conclusion, this study suggests that the Great Recession, measured by foreclosure rates, led to</w:t>
      </w:r>
      <w:r w:rsidRPr="005977DB">
        <w:rPr>
          <w:rFonts w:ascii="Times New Roman" w:hAnsi="Times New Roman" w:cs="Times New Roman"/>
          <w:i/>
          <w:sz w:val="24"/>
          <w:szCs w:val="24"/>
          <w:highlight w:val="yellow"/>
        </w:rPr>
        <w:t xml:space="preserve"> an</w:t>
      </w:r>
      <w:r w:rsidR="00C6379D" w:rsidRPr="005977DB">
        <w:rPr>
          <w:rFonts w:ascii="Times New Roman" w:hAnsi="Times New Roman" w:cs="Times New Roman"/>
          <w:i/>
          <w:sz w:val="24"/>
          <w:szCs w:val="24"/>
          <w:highlight w:val="yellow"/>
        </w:rPr>
        <w:t xml:space="preserve"> </w:t>
      </w:r>
      <w:r w:rsidRPr="005977DB">
        <w:rPr>
          <w:rFonts w:ascii="Times New Roman" w:hAnsi="Times New Roman" w:cs="Times New Roman"/>
          <w:i/>
          <w:sz w:val="24"/>
          <w:szCs w:val="24"/>
          <w:highlight w:val="yellow"/>
        </w:rPr>
        <w:t>increase</w:t>
      </w:r>
      <w:r w:rsidR="00C6379D" w:rsidRPr="005977DB">
        <w:rPr>
          <w:rFonts w:ascii="Times New Roman" w:hAnsi="Times New Roman" w:cs="Times New Roman"/>
          <w:i/>
          <w:sz w:val="24"/>
          <w:szCs w:val="24"/>
          <w:highlight w:val="yellow"/>
        </w:rPr>
        <w:t xml:space="preserve"> </w:t>
      </w:r>
      <w:r w:rsidRPr="005977DB">
        <w:rPr>
          <w:rFonts w:ascii="Times New Roman" w:hAnsi="Times New Roman" w:cs="Times New Roman"/>
          <w:i/>
          <w:sz w:val="24"/>
          <w:szCs w:val="24"/>
          <w:highlight w:val="yellow"/>
        </w:rPr>
        <w:t xml:space="preserve">in </w:t>
      </w:r>
      <w:r w:rsidR="00C6379D" w:rsidRPr="005977DB">
        <w:rPr>
          <w:rFonts w:ascii="Times New Roman" w:hAnsi="Times New Roman" w:cs="Times New Roman"/>
          <w:i/>
          <w:sz w:val="24"/>
          <w:szCs w:val="24"/>
          <w:highlight w:val="yellow"/>
        </w:rPr>
        <w:t>certain types of violence.</w:t>
      </w:r>
      <w:r w:rsidRPr="005977DB">
        <w:rPr>
          <w:rFonts w:ascii="Times New Roman" w:hAnsi="Times New Roman" w:cs="Times New Roman"/>
          <w:i/>
          <w:sz w:val="24"/>
          <w:szCs w:val="24"/>
        </w:rPr>
        <w:t>”</w:t>
      </w:r>
    </w:p>
    <w:p w14:paraId="18A98A9B" w14:textId="77777777" w:rsidR="00C6379D" w:rsidRDefault="00C6379D" w:rsidP="00C6379D">
      <w:pPr>
        <w:pStyle w:val="ListParagraph"/>
        <w:rPr>
          <w:rFonts w:ascii="Times New Roman" w:hAnsi="Times New Roman" w:cs="Times New Roman"/>
          <w:sz w:val="24"/>
          <w:szCs w:val="24"/>
        </w:rPr>
      </w:pPr>
    </w:p>
    <w:p w14:paraId="1698C7D7" w14:textId="09944F0B" w:rsidR="008372FB" w:rsidRPr="00D06F08" w:rsidRDefault="008372FB" w:rsidP="00597A10">
      <w:pPr>
        <w:pStyle w:val="ListParagraph"/>
        <w:numPr>
          <w:ilvl w:val="0"/>
          <w:numId w:val="1"/>
        </w:numPr>
        <w:rPr>
          <w:rFonts w:ascii="Times New Roman" w:hAnsi="Times New Roman" w:cs="Times New Roman"/>
          <w:sz w:val="24"/>
          <w:szCs w:val="24"/>
        </w:rPr>
      </w:pPr>
      <w:r w:rsidRPr="00D06F08">
        <w:rPr>
          <w:rFonts w:ascii="Times New Roman" w:hAnsi="Times New Roman" w:cs="Times New Roman"/>
          <w:sz w:val="24"/>
          <w:szCs w:val="24"/>
        </w:rPr>
        <w:t>“IVP” is used as the acronym for interpersonal violence, please change to "IPV" to be consistent with other literature.</w:t>
      </w:r>
    </w:p>
    <w:p w14:paraId="52372497" w14:textId="77777777" w:rsidR="002213B3" w:rsidRDefault="002213B3" w:rsidP="00597A10">
      <w:pPr>
        <w:pStyle w:val="ListParagraph"/>
        <w:rPr>
          <w:rFonts w:ascii="Times New Roman" w:hAnsi="Times New Roman" w:cs="Times New Roman"/>
          <w:sz w:val="24"/>
          <w:szCs w:val="24"/>
        </w:rPr>
      </w:pPr>
    </w:p>
    <w:p w14:paraId="2DA5EE6F" w14:textId="04F5029C" w:rsidR="00597A10" w:rsidRPr="005977DB" w:rsidRDefault="002213B3" w:rsidP="00597A10">
      <w:pPr>
        <w:pStyle w:val="ListParagraph"/>
        <w:rPr>
          <w:rFonts w:ascii="Times New Roman" w:hAnsi="Times New Roman" w:cs="Times New Roman"/>
          <w:i/>
          <w:sz w:val="24"/>
          <w:szCs w:val="24"/>
        </w:rPr>
      </w:pPr>
      <w:r w:rsidRPr="005977DB">
        <w:rPr>
          <w:rFonts w:ascii="Times New Roman" w:hAnsi="Times New Roman" w:cs="Times New Roman"/>
          <w:i/>
          <w:sz w:val="24"/>
          <w:szCs w:val="24"/>
        </w:rPr>
        <w:t xml:space="preserve">Thank you for catching this typo. It has been corrected. </w:t>
      </w:r>
    </w:p>
    <w:p w14:paraId="7E3748DC" w14:textId="2CC32E77" w:rsidR="008372FB" w:rsidRPr="00D06F08" w:rsidRDefault="008372FB" w:rsidP="008372FB">
      <w:pPr>
        <w:rPr>
          <w:rFonts w:ascii="Times New Roman" w:hAnsi="Times New Roman" w:cs="Times New Roman"/>
          <w:sz w:val="24"/>
          <w:szCs w:val="24"/>
        </w:rPr>
      </w:pPr>
    </w:p>
    <w:p w14:paraId="29F3243F" w14:textId="1ACD071B" w:rsidR="008372FB" w:rsidRDefault="008372FB" w:rsidP="008372FB">
      <w:pPr>
        <w:rPr>
          <w:rFonts w:ascii="Times New Roman" w:hAnsi="Times New Roman" w:cs="Times New Roman"/>
          <w:sz w:val="24"/>
          <w:szCs w:val="24"/>
        </w:rPr>
      </w:pPr>
    </w:p>
    <w:p w14:paraId="46964C02" w14:textId="0EEEC138" w:rsidR="004A3C07" w:rsidRDefault="004A3C07" w:rsidP="008372FB">
      <w:pPr>
        <w:rPr>
          <w:rFonts w:ascii="Times New Roman" w:hAnsi="Times New Roman" w:cs="Times New Roman"/>
          <w:sz w:val="24"/>
          <w:szCs w:val="24"/>
        </w:rPr>
      </w:pPr>
    </w:p>
    <w:p w14:paraId="787748AC" w14:textId="132BEBB1" w:rsidR="004A3C07" w:rsidRDefault="004A3C07" w:rsidP="008372FB">
      <w:pPr>
        <w:rPr>
          <w:rFonts w:ascii="Times New Roman" w:hAnsi="Times New Roman" w:cs="Times New Roman"/>
          <w:sz w:val="24"/>
          <w:szCs w:val="24"/>
        </w:rPr>
      </w:pPr>
    </w:p>
    <w:p w14:paraId="16FDACDC" w14:textId="60638F77" w:rsidR="004A3C07" w:rsidRDefault="004A3C07" w:rsidP="008372FB">
      <w:pPr>
        <w:rPr>
          <w:rFonts w:ascii="Times New Roman" w:hAnsi="Times New Roman" w:cs="Times New Roman"/>
          <w:sz w:val="24"/>
          <w:szCs w:val="24"/>
        </w:rPr>
      </w:pPr>
    </w:p>
    <w:p w14:paraId="6683BAB8" w14:textId="77777777" w:rsidR="00797E84" w:rsidRPr="00D06F08" w:rsidRDefault="00797E84" w:rsidP="008372FB">
      <w:pPr>
        <w:rPr>
          <w:rFonts w:ascii="Times New Roman" w:hAnsi="Times New Roman" w:cs="Times New Roman"/>
          <w:sz w:val="24"/>
          <w:szCs w:val="24"/>
        </w:rPr>
      </w:pPr>
    </w:p>
    <w:p w14:paraId="6FC25655" w14:textId="77777777" w:rsidR="008372FB" w:rsidRPr="00D06F08"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Reviewer: 2</w:t>
      </w:r>
    </w:p>
    <w:p w14:paraId="0D76E5BB" w14:textId="77777777" w:rsidR="008372FB" w:rsidRPr="00D06F08" w:rsidRDefault="008372FB" w:rsidP="008372FB">
      <w:pPr>
        <w:rPr>
          <w:rFonts w:ascii="Times New Roman" w:hAnsi="Times New Roman" w:cs="Times New Roman"/>
          <w:sz w:val="24"/>
          <w:szCs w:val="24"/>
        </w:rPr>
      </w:pPr>
    </w:p>
    <w:p w14:paraId="2557EB4F" w14:textId="77777777" w:rsidR="008372FB" w:rsidRPr="00D06F08"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Comments to the Author</w:t>
      </w:r>
    </w:p>
    <w:p w14:paraId="38EB0E44" w14:textId="24FC4709" w:rsidR="008372FB" w:rsidRPr="00F6733B" w:rsidRDefault="008372FB" w:rsidP="00F6733B">
      <w:pPr>
        <w:pStyle w:val="ListParagraph"/>
        <w:numPr>
          <w:ilvl w:val="0"/>
          <w:numId w:val="4"/>
        </w:numPr>
        <w:rPr>
          <w:rFonts w:ascii="Times New Roman" w:hAnsi="Times New Roman" w:cs="Times New Roman"/>
          <w:sz w:val="24"/>
          <w:szCs w:val="24"/>
        </w:rPr>
      </w:pPr>
      <w:r w:rsidRPr="00F6733B">
        <w:rPr>
          <w:rFonts w:ascii="Times New Roman" w:hAnsi="Times New Roman" w:cs="Times New Roman"/>
          <w:sz w:val="24"/>
          <w:szCs w:val="24"/>
        </w:rPr>
        <w:t xml:space="preserve">Thank you for the opportunity to review the manuscript titled "". I found the paper to be well-done, particularly </w:t>
      </w:r>
      <w:proofErr w:type="spellStart"/>
      <w:r w:rsidRPr="00F6733B">
        <w:rPr>
          <w:rFonts w:ascii="Times New Roman" w:hAnsi="Times New Roman" w:cs="Times New Roman"/>
          <w:sz w:val="24"/>
          <w:szCs w:val="24"/>
        </w:rPr>
        <w:t>wit</w:t>
      </w:r>
      <w:proofErr w:type="spellEnd"/>
      <w:r w:rsidRPr="00F6733B">
        <w:rPr>
          <w:rFonts w:ascii="Times New Roman" w:hAnsi="Times New Roman" w:cs="Times New Roman"/>
          <w:sz w:val="24"/>
          <w:szCs w:val="24"/>
        </w:rPr>
        <w:t xml:space="preserve"> respect to the analytic design. My key feedback for the authors pertains to inclusion of more theory of frustration-aggression-displacement hypothesis in the Introduction and how that may relate to escalated violence during economic uncertainty. If the authors could include a more detailed description of this theoretical pathway, I believe it would make the paper stronger.</w:t>
      </w:r>
    </w:p>
    <w:p w14:paraId="32E4737C" w14:textId="3B90D301" w:rsidR="00F6733B" w:rsidRPr="005977DB" w:rsidRDefault="00F6733B" w:rsidP="00F6733B">
      <w:pPr>
        <w:ind w:left="720"/>
        <w:rPr>
          <w:rFonts w:ascii="Times New Roman" w:hAnsi="Times New Roman" w:cs="Times New Roman"/>
          <w:i/>
          <w:sz w:val="24"/>
          <w:szCs w:val="24"/>
        </w:rPr>
      </w:pPr>
      <w:r w:rsidRPr="005977DB">
        <w:rPr>
          <w:rFonts w:ascii="Times New Roman" w:hAnsi="Times New Roman" w:cs="Times New Roman"/>
          <w:i/>
          <w:sz w:val="24"/>
          <w:szCs w:val="24"/>
        </w:rPr>
        <w:t>Thank you for this suggestion. We have added language to the introduction to expand on the theoretical pathway.</w:t>
      </w:r>
    </w:p>
    <w:p w14:paraId="1A730728" w14:textId="2BA8B48C" w:rsidR="00BA7715" w:rsidRPr="00632832" w:rsidRDefault="00185FD5" w:rsidP="00F6733B">
      <w:pPr>
        <w:ind w:left="720"/>
        <w:rPr>
          <w:rFonts w:ascii="Times New Roman" w:hAnsi="Times New Roman" w:cs="Times New Roman"/>
          <w:i/>
          <w:sz w:val="24"/>
          <w:szCs w:val="24"/>
        </w:rPr>
      </w:pPr>
      <w:r w:rsidRPr="005977DB">
        <w:rPr>
          <w:rFonts w:ascii="Times New Roman" w:hAnsi="Times New Roman" w:cs="Times New Roman"/>
          <w:i/>
          <w:sz w:val="24"/>
          <w:szCs w:val="24"/>
        </w:rPr>
        <w:t>“</w:t>
      </w:r>
      <w:r w:rsidR="00BA7715" w:rsidRPr="005977DB">
        <w:rPr>
          <w:rFonts w:ascii="Times New Roman" w:hAnsi="Times New Roman" w:cs="Times New Roman"/>
          <w:i/>
          <w:sz w:val="24"/>
          <w:szCs w:val="24"/>
        </w:rPr>
        <w:t xml:space="preserve">On the macro level, there are multiple pathways by which </w:t>
      </w:r>
      <w:r w:rsidR="0020131B">
        <w:rPr>
          <w:rFonts w:ascii="Times New Roman" w:hAnsi="Times New Roman" w:cs="Times New Roman"/>
          <w:i/>
          <w:sz w:val="24"/>
          <w:szCs w:val="24"/>
        </w:rPr>
        <w:t xml:space="preserve">the Recession measured by </w:t>
      </w:r>
      <w:r w:rsidR="00BA7715" w:rsidRPr="005977DB">
        <w:rPr>
          <w:rFonts w:ascii="Times New Roman" w:hAnsi="Times New Roman" w:cs="Times New Roman"/>
          <w:i/>
          <w:sz w:val="24"/>
          <w:szCs w:val="24"/>
        </w:rPr>
        <w:t>foreclosures could impact health. For example economic spill-overs</w:t>
      </w:r>
      <w:r w:rsidR="0020131B">
        <w:rPr>
          <w:rFonts w:ascii="Times New Roman" w:hAnsi="Times New Roman" w:cs="Times New Roman"/>
          <w:i/>
          <w:sz w:val="24"/>
          <w:szCs w:val="24"/>
        </w:rPr>
        <w:t xml:space="preserve"> of the Recession</w:t>
      </w:r>
      <w:r w:rsidR="00BA7715" w:rsidRPr="005977DB">
        <w:rPr>
          <w:rFonts w:ascii="Times New Roman" w:hAnsi="Times New Roman" w:cs="Times New Roman"/>
          <w:i/>
          <w:sz w:val="24"/>
          <w:szCs w:val="24"/>
        </w:rPr>
        <w:t xml:space="preserve"> such as a drop in local property value, physical environmental impacts such as neglected properties, or social environmental impacts such as residential turnover can impact stress and create frustration-aggression.</w:t>
      </w:r>
      <w:r w:rsidR="00BA7715" w:rsidRPr="005977DB">
        <w:rPr>
          <w:rFonts w:ascii="Times New Roman" w:hAnsi="Times New Roman" w:cs="Times New Roman"/>
          <w:i/>
          <w:sz w:val="24"/>
          <w:szCs w:val="24"/>
        </w:rPr>
        <w:fldChar w:fldCharType="begin"/>
      </w:r>
      <w:r w:rsidR="00BD70A2" w:rsidRPr="005977DB">
        <w:rPr>
          <w:rFonts w:ascii="Times New Roman" w:hAnsi="Times New Roman" w:cs="Times New Roman"/>
          <w:i/>
          <w:sz w:val="24"/>
          <w:szCs w:val="24"/>
        </w:rPr>
        <w:instrText xml:space="preserve"> ADDIN ZOTERO_ITEM CSL_CITATION {"citationID":"AVbpF1GP","properties":{"formattedCitation":"\\super 7,8\\nosupersub{}","plainCitation":"7,8","noteIndex":0},"citationItems":[{"id":742,"uris":["http://zotero.org/users/6155323/items/EJ73YMZI"],"uri":["http://zotero.org/users/6155323/items/EJ73YMZI"],"itemData":{"id":742,"type":"article-journal","abstract":"The foreclosure crisis was detrimental to the financial well-being of many households, yet the non-economic consequences are still poorly understood. This systematic review aims to understand the direct and spillover effect of foreclosures on several health-related outcomes by synthesizing evidence from 40 studies. First, this study identifies research gaps using a schema to organize studies by line of inquiry, health-related outcome, and measure of homeowner financial distress. In order to provide context for the findings, four pathways – stress, effect-budgeting, frustration-aggression, and trust – evoked in the literature are described to explain the relationship between foreclosures and health. The research suggests that experiencing a foreclosure and living near foreclosures are associated with poor psychological and behavioral morbidities, namely anxiety and violent behavior, and declining health utilization. Evidence is sparse on suicide, substance abuse, somatic morbidities, and mortality. Future research is needed to fill the gaps and explicitly test the mechanisms proposed.","container-title":"Social Science &amp; Medicine","DOI":"10.1016/j.socscimed.2016.06.014","ISSN":"0277-9536","journalAbbreviation":"Social Science &amp; Medicine","language":"en","page":"88-96","source":"ScienceDirect","title":"The health effects of the foreclosure crisis and unaffordable housing: A systematic review and explanation of evidence","title-short":"The health effects of the foreclosure crisis and unaffordable housing","volume":"162","author":[{"family":"Downing","given":"Janelle"}],"issued":{"date-parts":[["2016",8,1]]}}},{"id":17,"uris":["http://zotero.org/users/6155323/items/WVRS96H5"],"uri":["http://zotero.org/users/6155323/items/WVRS96H5"],"itemData":{"id":17,"type":"book","abstract":"THE GROUNDBREAKING, FORMATIVE WORK IN SPATIAL EPIDEMIOLOGY -- NOW UPDATED FOR A NEW GENERATION OF RESEARCH AND PRACTICE IN PUBLIC HEALTHIn 2003, Neighborhoods and Health codified the idea that a neighborhood's social and physical makeup can influence the health of people who live in it. More than a decade later, with the relationship between place and health firmly entrenched at the center of how we understand public health (and as its own scientific discipline, spatial epidemiology), this second edition of the landmark text offers another giant leap forward for the field.Offering both a synthesis of the essential research and a practical overview of the methods used to garner it, the second edition of Neighborhoods and Health is the essential guide to understanding this core component of contemporary population health -- both the journey to date and what's next.","edition":"2nd edition","event-place":"New York, NY","ISBN":"978-0-19-084350-2","language":"English","number-of-pages":"392","publisher":"Oxford University Press","publisher-place":"New York, NY","source":"Amazon","title":"Neighborhoods and Health","editor":[{"family":"Duncan","given":"Dustin T."},{"family":"Kawachi","given":"Ichiro"}],"author":[{"family":"Roux","given":"Ana V. Diez"}],"issued":{"date-parts":[["2018",4,25]]}}}],"schema":"https://github.com/citation-style-language/schema/raw/master/csl-citation.json"} </w:instrText>
      </w:r>
      <w:r w:rsidR="00BA7715" w:rsidRPr="005977DB">
        <w:rPr>
          <w:rFonts w:ascii="Times New Roman" w:hAnsi="Times New Roman" w:cs="Times New Roman"/>
          <w:i/>
          <w:sz w:val="24"/>
          <w:szCs w:val="24"/>
        </w:rPr>
        <w:fldChar w:fldCharType="separate"/>
      </w:r>
      <w:r w:rsidR="00BD70A2" w:rsidRPr="005977DB">
        <w:rPr>
          <w:rFonts w:ascii="Times New Roman" w:hAnsi="Times New Roman" w:cs="Times New Roman"/>
          <w:i/>
          <w:sz w:val="24"/>
          <w:szCs w:val="24"/>
          <w:vertAlign w:val="superscript"/>
        </w:rPr>
        <w:t>7,8</w:t>
      </w:r>
      <w:r w:rsidR="00BA7715" w:rsidRPr="005977DB">
        <w:rPr>
          <w:rFonts w:ascii="Times New Roman" w:hAnsi="Times New Roman" w:cs="Times New Roman"/>
          <w:i/>
          <w:sz w:val="24"/>
          <w:szCs w:val="24"/>
        </w:rPr>
        <w:fldChar w:fldCharType="end"/>
      </w:r>
      <w:r w:rsidR="00BA7715" w:rsidRPr="005977DB">
        <w:rPr>
          <w:rFonts w:ascii="Times New Roman" w:hAnsi="Times New Roman" w:cs="Times New Roman"/>
          <w:i/>
          <w:sz w:val="24"/>
          <w:szCs w:val="24"/>
        </w:rPr>
        <w:t xml:space="preserve"> </w:t>
      </w:r>
      <w:r w:rsidR="00BA7715" w:rsidRPr="005977DB">
        <w:rPr>
          <w:rFonts w:ascii="Times New Roman" w:hAnsi="Times New Roman" w:cs="Times New Roman"/>
          <w:i/>
          <w:sz w:val="24"/>
          <w:szCs w:val="24"/>
          <w:highlight w:val="yellow"/>
        </w:rPr>
        <w:t xml:space="preserve">More specifically, </w:t>
      </w:r>
      <w:r w:rsidR="00F103D5" w:rsidRPr="005977DB">
        <w:rPr>
          <w:rFonts w:ascii="Times New Roman" w:hAnsi="Times New Roman" w:cs="Times New Roman"/>
          <w:i/>
          <w:sz w:val="24"/>
          <w:szCs w:val="24"/>
          <w:highlight w:val="yellow"/>
        </w:rPr>
        <w:t>the economic spill-overs</w:t>
      </w:r>
      <w:r w:rsidR="00E45B6E">
        <w:rPr>
          <w:rFonts w:ascii="Times New Roman" w:hAnsi="Times New Roman" w:cs="Times New Roman"/>
          <w:i/>
          <w:sz w:val="24"/>
          <w:szCs w:val="24"/>
          <w:highlight w:val="yellow"/>
        </w:rPr>
        <w:t xml:space="preserve"> may</w:t>
      </w:r>
      <w:r w:rsidR="00F103D5" w:rsidRPr="005977DB">
        <w:rPr>
          <w:rFonts w:ascii="Times New Roman" w:hAnsi="Times New Roman" w:cs="Times New Roman"/>
          <w:i/>
          <w:sz w:val="24"/>
          <w:szCs w:val="24"/>
          <w:highlight w:val="yellow"/>
        </w:rPr>
        <w:t xml:space="preserve"> create </w:t>
      </w:r>
      <w:r w:rsidR="00446E61" w:rsidRPr="005977DB">
        <w:rPr>
          <w:rFonts w:ascii="Times New Roman" w:hAnsi="Times New Roman" w:cs="Times New Roman"/>
          <w:i/>
          <w:sz w:val="24"/>
          <w:szCs w:val="24"/>
          <w:highlight w:val="yellow"/>
        </w:rPr>
        <w:t xml:space="preserve">structurally disadvantaged neighborhoods </w:t>
      </w:r>
      <w:r w:rsidR="00F103D5" w:rsidRPr="005977DB">
        <w:rPr>
          <w:rFonts w:ascii="Times New Roman" w:hAnsi="Times New Roman" w:cs="Times New Roman"/>
          <w:i/>
          <w:sz w:val="24"/>
          <w:szCs w:val="24"/>
          <w:highlight w:val="yellow"/>
        </w:rPr>
        <w:t xml:space="preserve">that </w:t>
      </w:r>
      <w:r w:rsidR="00F36133" w:rsidRPr="005977DB">
        <w:rPr>
          <w:rFonts w:ascii="Times New Roman" w:hAnsi="Times New Roman" w:cs="Times New Roman"/>
          <w:i/>
          <w:sz w:val="24"/>
          <w:szCs w:val="24"/>
          <w:highlight w:val="yellow"/>
        </w:rPr>
        <w:t>inhibit</w:t>
      </w:r>
      <w:r w:rsidR="00446E61" w:rsidRPr="005977DB">
        <w:rPr>
          <w:rFonts w:ascii="Times New Roman" w:hAnsi="Times New Roman" w:cs="Times New Roman"/>
          <w:i/>
          <w:sz w:val="24"/>
          <w:szCs w:val="24"/>
          <w:highlight w:val="yellow"/>
        </w:rPr>
        <w:t xml:space="preserve"> relationships via high population turnover and thus lead to low levels of informal social control and high levels of crime. </w:t>
      </w:r>
      <w:r w:rsidR="00D52599" w:rsidRPr="005977DB">
        <w:rPr>
          <w:rFonts w:ascii="Times New Roman" w:hAnsi="Times New Roman" w:cs="Times New Roman"/>
          <w:i/>
          <w:sz w:val="24"/>
          <w:szCs w:val="24"/>
          <w:highlight w:val="yellow"/>
        </w:rPr>
        <w:t xml:space="preserve">Further the role of </w:t>
      </w:r>
      <w:r w:rsidR="00511268" w:rsidRPr="005977DB">
        <w:rPr>
          <w:rFonts w:ascii="Times New Roman" w:hAnsi="Times New Roman" w:cs="Times New Roman"/>
          <w:i/>
          <w:sz w:val="24"/>
          <w:szCs w:val="24"/>
          <w:highlight w:val="yellow"/>
        </w:rPr>
        <w:t xml:space="preserve">future </w:t>
      </w:r>
      <w:r w:rsidR="00D52599" w:rsidRPr="005977DB">
        <w:rPr>
          <w:rFonts w:ascii="Times New Roman" w:hAnsi="Times New Roman" w:cs="Times New Roman"/>
          <w:i/>
          <w:sz w:val="24"/>
          <w:szCs w:val="24"/>
          <w:highlight w:val="yellow"/>
        </w:rPr>
        <w:t xml:space="preserve">economic </w:t>
      </w:r>
      <w:r w:rsidR="00007841">
        <w:rPr>
          <w:rFonts w:ascii="Times New Roman" w:hAnsi="Times New Roman" w:cs="Times New Roman"/>
          <w:i/>
          <w:sz w:val="24"/>
          <w:szCs w:val="24"/>
          <w:highlight w:val="yellow"/>
        </w:rPr>
        <w:t xml:space="preserve">uncertainty </w:t>
      </w:r>
      <w:r w:rsidR="00BF5BD9" w:rsidRPr="00632832">
        <w:rPr>
          <w:rFonts w:ascii="Times New Roman" w:hAnsi="Times New Roman" w:cs="Times New Roman"/>
          <w:i/>
          <w:sz w:val="24"/>
          <w:szCs w:val="24"/>
          <w:highlight w:val="yellow"/>
        </w:rPr>
        <w:t>leads to strain and conflict such as increased aggression.</w:t>
      </w:r>
      <w:r w:rsidR="00BF5BD9" w:rsidRPr="00632832">
        <w:rPr>
          <w:rFonts w:ascii="Times New Roman" w:hAnsi="Times New Roman" w:cs="Times New Roman"/>
          <w:i/>
          <w:sz w:val="24"/>
          <w:szCs w:val="24"/>
        </w:rPr>
        <w:t xml:space="preserve"> </w:t>
      </w:r>
      <w:r w:rsidR="00BA7715" w:rsidRPr="00632832">
        <w:rPr>
          <w:rFonts w:ascii="Times New Roman" w:hAnsi="Times New Roman" w:cs="Times New Roman"/>
          <w:i/>
          <w:sz w:val="24"/>
          <w:szCs w:val="24"/>
        </w:rPr>
        <w:t>Understanding the social links that drive violence is useful for informing violence prevention programs and policy.</w:t>
      </w:r>
      <w:r w:rsidRPr="00632832">
        <w:rPr>
          <w:rFonts w:ascii="Times New Roman" w:hAnsi="Times New Roman" w:cs="Times New Roman"/>
          <w:i/>
          <w:sz w:val="24"/>
          <w:szCs w:val="24"/>
        </w:rPr>
        <w:t>”</w:t>
      </w:r>
    </w:p>
    <w:p w14:paraId="2C8F1501" w14:textId="1F11D796" w:rsidR="008372FB" w:rsidRPr="00F6733B" w:rsidRDefault="008372FB" w:rsidP="00F6733B">
      <w:pPr>
        <w:pStyle w:val="ListParagraph"/>
        <w:numPr>
          <w:ilvl w:val="0"/>
          <w:numId w:val="4"/>
        </w:numPr>
        <w:rPr>
          <w:rFonts w:ascii="Times New Roman" w:hAnsi="Times New Roman" w:cs="Times New Roman"/>
          <w:sz w:val="24"/>
          <w:szCs w:val="24"/>
        </w:rPr>
      </w:pPr>
      <w:r w:rsidRPr="00F6733B">
        <w:rPr>
          <w:rFonts w:ascii="Times New Roman" w:hAnsi="Times New Roman" w:cs="Times New Roman"/>
          <w:sz w:val="24"/>
          <w:szCs w:val="24"/>
        </w:rPr>
        <w:t>On a related but slightly different note, the authors allude to the role of uncertainty being the main underlying driver for violent and stressful reactions during recessions. If this point could also be brought up in the Introduction, with inhibition effects (</w:t>
      </w:r>
      <w:proofErr w:type="gramStart"/>
      <w:r w:rsidRPr="00F6733B">
        <w:rPr>
          <w:rFonts w:ascii="Times New Roman" w:hAnsi="Times New Roman" w:cs="Times New Roman"/>
          <w:sz w:val="24"/>
          <w:szCs w:val="24"/>
        </w:rPr>
        <w:t>i.e.</w:t>
      </w:r>
      <w:proofErr w:type="gramEnd"/>
      <w:r w:rsidRPr="00F6733B">
        <w:rPr>
          <w:rFonts w:ascii="Times New Roman" w:hAnsi="Times New Roman" w:cs="Times New Roman"/>
          <w:sz w:val="24"/>
          <w:szCs w:val="24"/>
        </w:rPr>
        <w:t xml:space="preserve"> people being on their best behavior during uncertain times), a reader may better understand the context of how populations may or may not react violently during economic uncertainty.</w:t>
      </w:r>
    </w:p>
    <w:p w14:paraId="08C8126C" w14:textId="0AE5EA83" w:rsidR="00F6733B" w:rsidRPr="00B973A8" w:rsidRDefault="00F6733B" w:rsidP="00783193">
      <w:pPr>
        <w:ind w:left="720"/>
        <w:rPr>
          <w:rFonts w:ascii="Times New Roman" w:hAnsi="Times New Roman" w:cs="Times New Roman"/>
          <w:i/>
          <w:sz w:val="24"/>
          <w:szCs w:val="24"/>
        </w:rPr>
      </w:pPr>
      <w:r w:rsidRPr="005977DB">
        <w:rPr>
          <w:rFonts w:ascii="Times New Roman" w:hAnsi="Times New Roman" w:cs="Times New Roman"/>
          <w:i/>
          <w:sz w:val="24"/>
          <w:szCs w:val="24"/>
        </w:rPr>
        <w:t xml:space="preserve">Thank you for this suggestion. </w:t>
      </w:r>
      <w:r w:rsidR="00783193" w:rsidRPr="005977DB">
        <w:rPr>
          <w:rFonts w:ascii="Times New Roman" w:hAnsi="Times New Roman" w:cs="Times New Roman"/>
          <w:i/>
          <w:sz w:val="24"/>
          <w:szCs w:val="24"/>
        </w:rPr>
        <w:t>We have added language in the introduction to expand on how populations may respond to economic pressure</w:t>
      </w:r>
      <w:r w:rsidR="00E45B6E">
        <w:rPr>
          <w:rFonts w:ascii="Times New Roman" w:hAnsi="Times New Roman" w:cs="Times New Roman"/>
          <w:i/>
          <w:sz w:val="24"/>
          <w:szCs w:val="24"/>
        </w:rPr>
        <w:t xml:space="preserve">, as indicated in the response above. </w:t>
      </w:r>
    </w:p>
    <w:p w14:paraId="136D843C" w14:textId="6B76B7B4" w:rsidR="00B96D4E" w:rsidRDefault="00B96D4E" w:rsidP="005977DB">
      <w:pPr>
        <w:ind w:left="720"/>
        <w:rPr>
          <w:rFonts w:ascii="Times New Roman" w:hAnsi="Times New Roman" w:cs="Times New Roman"/>
          <w:sz w:val="24"/>
          <w:szCs w:val="24"/>
        </w:rPr>
      </w:pPr>
    </w:p>
    <w:p w14:paraId="41878D9B" w14:textId="6B0B404C" w:rsidR="008372FB" w:rsidRDefault="008372FB" w:rsidP="008372FB">
      <w:pPr>
        <w:rPr>
          <w:rFonts w:ascii="Times New Roman" w:hAnsi="Times New Roman" w:cs="Times New Roman"/>
          <w:sz w:val="24"/>
          <w:szCs w:val="24"/>
        </w:rPr>
      </w:pPr>
      <w:r w:rsidRPr="00D06F08">
        <w:rPr>
          <w:rFonts w:ascii="Times New Roman" w:hAnsi="Times New Roman" w:cs="Times New Roman"/>
          <w:sz w:val="24"/>
          <w:szCs w:val="24"/>
        </w:rPr>
        <w:t>Other than these two theoretical inclusions as minor revisions, I do not have other comments for the paper.</w:t>
      </w:r>
    </w:p>
    <w:p w14:paraId="19E2C04F" w14:textId="1CDD394F" w:rsidR="00446E61" w:rsidRDefault="00446E61" w:rsidP="008372FB">
      <w:pPr>
        <w:rPr>
          <w:rFonts w:ascii="Times New Roman" w:hAnsi="Times New Roman" w:cs="Times New Roman"/>
          <w:sz w:val="24"/>
          <w:szCs w:val="24"/>
        </w:rPr>
      </w:pPr>
    </w:p>
    <w:p w14:paraId="6DEC46D1" w14:textId="1C65A5D5" w:rsidR="004A3C07" w:rsidRDefault="004A3C07" w:rsidP="008372FB">
      <w:pPr>
        <w:rPr>
          <w:rFonts w:ascii="Times New Roman" w:hAnsi="Times New Roman" w:cs="Times New Roman"/>
          <w:sz w:val="24"/>
          <w:szCs w:val="24"/>
        </w:rPr>
      </w:pPr>
    </w:p>
    <w:p w14:paraId="0297910F" w14:textId="0BA4942A" w:rsidR="004A3C07" w:rsidRDefault="004A3C07" w:rsidP="008372FB">
      <w:pPr>
        <w:rPr>
          <w:rFonts w:ascii="Times New Roman" w:hAnsi="Times New Roman" w:cs="Times New Roman"/>
          <w:sz w:val="24"/>
          <w:szCs w:val="24"/>
        </w:rPr>
      </w:pPr>
    </w:p>
    <w:p w14:paraId="43D4CD13" w14:textId="55CC3D1D" w:rsidR="004A3C07" w:rsidRDefault="004A3C07" w:rsidP="008372FB">
      <w:pPr>
        <w:rPr>
          <w:rFonts w:ascii="Times New Roman" w:hAnsi="Times New Roman" w:cs="Times New Roman"/>
          <w:sz w:val="24"/>
          <w:szCs w:val="24"/>
        </w:rPr>
      </w:pPr>
    </w:p>
    <w:p w14:paraId="17516FAF" w14:textId="06220C58" w:rsidR="004A3C07" w:rsidRDefault="004A3C07" w:rsidP="008372FB">
      <w:pPr>
        <w:rPr>
          <w:rFonts w:ascii="Times New Roman" w:hAnsi="Times New Roman" w:cs="Times New Roman"/>
          <w:sz w:val="24"/>
          <w:szCs w:val="24"/>
        </w:rPr>
      </w:pPr>
    </w:p>
    <w:p w14:paraId="3305C290" w14:textId="2AF21E2E" w:rsidR="00B75199" w:rsidRDefault="00B75199" w:rsidP="008372FB">
      <w:pPr>
        <w:rPr>
          <w:rFonts w:ascii="Times New Roman" w:hAnsi="Times New Roman" w:cs="Times New Roman"/>
          <w:sz w:val="24"/>
          <w:szCs w:val="24"/>
        </w:rPr>
      </w:pPr>
      <w:r>
        <w:rPr>
          <w:rFonts w:ascii="Times New Roman" w:hAnsi="Times New Roman" w:cs="Times New Roman"/>
          <w:sz w:val="24"/>
          <w:szCs w:val="24"/>
        </w:rPr>
        <w:t>References</w:t>
      </w:r>
    </w:p>
    <w:p w14:paraId="71FED8EF" w14:textId="77777777" w:rsidR="00B75199" w:rsidRDefault="00B75199" w:rsidP="00B75199">
      <w:pPr>
        <w:pStyle w:val="Default"/>
      </w:pPr>
    </w:p>
    <w:p w14:paraId="58D542A8" w14:textId="77777777" w:rsidR="00B75199" w:rsidRDefault="00B75199" w:rsidP="00B75199">
      <w:pPr>
        <w:pStyle w:val="Default"/>
        <w:rPr>
          <w:rFonts w:cstheme="minorBidi"/>
          <w:color w:val="auto"/>
        </w:rPr>
      </w:pPr>
    </w:p>
    <w:p w14:paraId="257C97BD" w14:textId="2F72740A" w:rsidR="00B75199" w:rsidRDefault="00B75199" w:rsidP="00B75199">
      <w:pPr>
        <w:pStyle w:val="ListParagraph"/>
        <w:numPr>
          <w:ilvl w:val="0"/>
          <w:numId w:val="5"/>
        </w:numPr>
        <w:rPr>
          <w:rFonts w:ascii="Times New Roman" w:hAnsi="Times New Roman" w:cs="Times New Roman"/>
          <w:sz w:val="24"/>
          <w:szCs w:val="24"/>
        </w:rPr>
      </w:pPr>
      <w:r w:rsidRPr="00B75199">
        <w:rPr>
          <w:rFonts w:ascii="Times New Roman" w:hAnsi="Times New Roman" w:cs="Times New Roman"/>
          <w:sz w:val="24"/>
          <w:szCs w:val="24"/>
        </w:rPr>
        <w:t>Centers for Disease Control and Prevention, National Center for Health Statistics. Underlying Cause of Death 1999-2019 on CDCWONDER Online Database, released in 2020. Data are from the Multiple Cause of Death Files, 1999-2019, as compiled from data</w:t>
      </w:r>
      <w:r>
        <w:rPr>
          <w:rFonts w:ascii="Times New Roman" w:hAnsi="Times New Roman" w:cs="Times New Roman"/>
          <w:sz w:val="24"/>
          <w:szCs w:val="24"/>
        </w:rPr>
        <w:t xml:space="preserve"> </w:t>
      </w:r>
      <w:r w:rsidRPr="00B75199">
        <w:rPr>
          <w:rFonts w:ascii="Times New Roman" w:hAnsi="Times New Roman" w:cs="Times New Roman"/>
          <w:sz w:val="24"/>
          <w:szCs w:val="24"/>
        </w:rPr>
        <w:t>provided by the 57 vital statistics jurisdictions through the Vital Statistics Cooperative Program. Accessed athttp://wonder.cdc.gov/ucd-icd10.html on Dec 7, 2021 1:35:01 PM</w:t>
      </w:r>
    </w:p>
    <w:p w14:paraId="18CA53C8" w14:textId="210B7C9F" w:rsidR="00BD70A2" w:rsidRPr="00BD70A2" w:rsidRDefault="00BD70A2" w:rsidP="00BD70A2">
      <w:pPr>
        <w:pStyle w:val="ListParagraph"/>
        <w:numPr>
          <w:ilvl w:val="0"/>
          <w:numId w:val="5"/>
        </w:numPr>
        <w:rPr>
          <w:rFonts w:ascii="Times New Roman" w:hAnsi="Times New Roman" w:cs="Times New Roman"/>
          <w:sz w:val="24"/>
          <w:szCs w:val="24"/>
        </w:rPr>
      </w:pPr>
      <w:proofErr w:type="spellStart"/>
      <w:r w:rsidRPr="00BD70A2">
        <w:rPr>
          <w:rFonts w:ascii="Times New Roman" w:hAnsi="Times New Roman" w:cs="Times New Roman"/>
          <w:sz w:val="24"/>
          <w:szCs w:val="24"/>
        </w:rPr>
        <w:t>Vyrostek</w:t>
      </w:r>
      <w:proofErr w:type="spellEnd"/>
      <w:r w:rsidRPr="00BD70A2">
        <w:rPr>
          <w:rFonts w:ascii="Times New Roman" w:hAnsi="Times New Roman" w:cs="Times New Roman"/>
          <w:sz w:val="24"/>
          <w:szCs w:val="24"/>
        </w:rPr>
        <w:t xml:space="preserve"> SB, </w:t>
      </w:r>
      <w:proofErr w:type="spellStart"/>
      <w:r w:rsidRPr="00BD70A2">
        <w:rPr>
          <w:rFonts w:ascii="Times New Roman" w:hAnsi="Times New Roman" w:cs="Times New Roman"/>
          <w:sz w:val="24"/>
          <w:szCs w:val="24"/>
        </w:rPr>
        <w:t>Annest</w:t>
      </w:r>
      <w:proofErr w:type="spellEnd"/>
      <w:r w:rsidRPr="00BD70A2">
        <w:rPr>
          <w:rFonts w:ascii="Times New Roman" w:hAnsi="Times New Roman" w:cs="Times New Roman"/>
          <w:sz w:val="24"/>
          <w:szCs w:val="24"/>
        </w:rPr>
        <w:t xml:space="preserve"> JL, Ryan GW. Surveillance for Fatal and Nonfatal Injuries --- United States, 2001. National Center for Injury Prevention and Control; 2004:1-57. Accessed December 13, 2021. https://www.cdc.gov/mmwr/preview/mmwrhtml/ss5307a1.htm</w:t>
      </w:r>
    </w:p>
    <w:p w14:paraId="24FCE4AB" w14:textId="0D3D4E65" w:rsidR="00BD70A2" w:rsidRPr="00BD70A2" w:rsidRDefault="00BD70A2" w:rsidP="00BD70A2">
      <w:pPr>
        <w:pStyle w:val="ListParagraph"/>
        <w:numPr>
          <w:ilvl w:val="0"/>
          <w:numId w:val="5"/>
        </w:numPr>
        <w:rPr>
          <w:rFonts w:ascii="Times New Roman" w:hAnsi="Times New Roman" w:cs="Times New Roman"/>
          <w:sz w:val="24"/>
          <w:szCs w:val="24"/>
        </w:rPr>
      </w:pPr>
      <w:r w:rsidRPr="00BD70A2">
        <w:rPr>
          <w:rFonts w:ascii="Times New Roman" w:hAnsi="Times New Roman" w:cs="Times New Roman"/>
          <w:sz w:val="24"/>
          <w:szCs w:val="24"/>
        </w:rPr>
        <w:t>Pfeiffer DW Alyssa Chamberlain, Deirdre. The Relationship Between Foreclosures and Intimate Partner Violence During the U.S. Housing Crisis - Danielle Wallace, Alyssa Chamberlain, Deirdre Pfeiffer, 2018. Journal of Interpersonal Violence. Published online December 17, 2018. Accessed July 28, 2020. https://journals-sagepub-com.ezp3.lib.umn.edu/doi/10.1177/0886260518818431?url_ver=Z39.88-2003&amp;rfr_id=ori%3Arid%3Acrossref.org&amp;rfr_dat=cr_pub++0pubmed</w:t>
      </w:r>
    </w:p>
    <w:p w14:paraId="14DD49C4" w14:textId="0EB64B57" w:rsidR="00BD70A2" w:rsidRPr="00BD70A2" w:rsidRDefault="00BD70A2" w:rsidP="00BD70A2">
      <w:pPr>
        <w:pStyle w:val="ListParagraph"/>
        <w:numPr>
          <w:ilvl w:val="0"/>
          <w:numId w:val="5"/>
        </w:numPr>
        <w:rPr>
          <w:rFonts w:ascii="Times New Roman" w:hAnsi="Times New Roman" w:cs="Times New Roman"/>
          <w:sz w:val="24"/>
          <w:szCs w:val="24"/>
        </w:rPr>
      </w:pPr>
      <w:r w:rsidRPr="00BD70A2">
        <w:rPr>
          <w:rFonts w:ascii="Times New Roman" w:hAnsi="Times New Roman" w:cs="Times New Roman"/>
          <w:sz w:val="24"/>
          <w:szCs w:val="24"/>
        </w:rPr>
        <w:t xml:space="preserve">Hoyle ME, Chamberlain AW, Wallace D. The Effect of Home Foreclosures on Child Maltreatment Rates: A Longitudinal Examination of Neighborhoods in Cleveland, Ohio. J </w:t>
      </w:r>
      <w:proofErr w:type="spellStart"/>
      <w:r w:rsidRPr="00BD70A2">
        <w:rPr>
          <w:rFonts w:ascii="Times New Roman" w:hAnsi="Times New Roman" w:cs="Times New Roman"/>
          <w:sz w:val="24"/>
          <w:szCs w:val="24"/>
        </w:rPr>
        <w:t>Interpers</w:t>
      </w:r>
      <w:proofErr w:type="spellEnd"/>
      <w:r w:rsidRPr="00BD70A2">
        <w:rPr>
          <w:rFonts w:ascii="Times New Roman" w:hAnsi="Times New Roman" w:cs="Times New Roman"/>
          <w:sz w:val="24"/>
          <w:szCs w:val="24"/>
        </w:rPr>
        <w:t xml:space="preserve"> Violence. Published online July 29, 2020:886260520943725. doi:10.1177/0886260520943725</w:t>
      </w:r>
    </w:p>
    <w:p w14:paraId="0863AF49" w14:textId="65AEA499" w:rsidR="00BD70A2" w:rsidRPr="00BD70A2" w:rsidRDefault="00BD70A2" w:rsidP="00BD70A2">
      <w:pPr>
        <w:pStyle w:val="ListParagraph"/>
        <w:numPr>
          <w:ilvl w:val="0"/>
          <w:numId w:val="5"/>
        </w:numPr>
        <w:rPr>
          <w:rFonts w:ascii="Times New Roman" w:hAnsi="Times New Roman" w:cs="Times New Roman"/>
          <w:sz w:val="24"/>
          <w:szCs w:val="24"/>
        </w:rPr>
      </w:pPr>
      <w:r w:rsidRPr="00BD70A2">
        <w:rPr>
          <w:rFonts w:ascii="Times New Roman" w:hAnsi="Times New Roman" w:cs="Times New Roman"/>
          <w:sz w:val="24"/>
          <w:szCs w:val="24"/>
        </w:rPr>
        <w:t xml:space="preserve">Kerr WC, Kaplan MS, </w:t>
      </w:r>
      <w:proofErr w:type="spellStart"/>
      <w:r w:rsidRPr="00BD70A2">
        <w:rPr>
          <w:rFonts w:ascii="Times New Roman" w:hAnsi="Times New Roman" w:cs="Times New Roman"/>
          <w:sz w:val="24"/>
          <w:szCs w:val="24"/>
        </w:rPr>
        <w:t>Huguet</w:t>
      </w:r>
      <w:proofErr w:type="spellEnd"/>
      <w:r w:rsidRPr="00BD70A2">
        <w:rPr>
          <w:rFonts w:ascii="Times New Roman" w:hAnsi="Times New Roman" w:cs="Times New Roman"/>
          <w:sz w:val="24"/>
          <w:szCs w:val="24"/>
        </w:rPr>
        <w:t xml:space="preserve"> N, Caetano R, Giesbrecht N, McFarland BH. Economic Recession, Alcohol, and Suicide Rates: Comparative Effects of Poverty, Foreclosure, and Job Loss. American Journal of Preventive Medicine. 2017;52(4):469-475. </w:t>
      </w:r>
      <w:proofErr w:type="gramStart"/>
      <w:r w:rsidRPr="00BD70A2">
        <w:rPr>
          <w:rFonts w:ascii="Times New Roman" w:hAnsi="Times New Roman" w:cs="Times New Roman"/>
          <w:sz w:val="24"/>
          <w:szCs w:val="24"/>
        </w:rPr>
        <w:t>doi:10.1016/j.amepre</w:t>
      </w:r>
      <w:proofErr w:type="gramEnd"/>
      <w:r w:rsidRPr="00BD70A2">
        <w:rPr>
          <w:rFonts w:ascii="Times New Roman" w:hAnsi="Times New Roman" w:cs="Times New Roman"/>
          <w:sz w:val="24"/>
          <w:szCs w:val="24"/>
        </w:rPr>
        <w:t>.2016.09.021</w:t>
      </w:r>
    </w:p>
    <w:p w14:paraId="54DA712F" w14:textId="2D6E3E68" w:rsidR="00BD70A2" w:rsidRDefault="00BD70A2" w:rsidP="00BD70A2">
      <w:pPr>
        <w:pStyle w:val="ListParagraph"/>
        <w:numPr>
          <w:ilvl w:val="0"/>
          <w:numId w:val="5"/>
        </w:numPr>
        <w:rPr>
          <w:rFonts w:ascii="Times New Roman" w:hAnsi="Times New Roman" w:cs="Times New Roman"/>
          <w:sz w:val="24"/>
          <w:szCs w:val="24"/>
        </w:rPr>
      </w:pPr>
      <w:proofErr w:type="spellStart"/>
      <w:r w:rsidRPr="00BD70A2">
        <w:rPr>
          <w:rFonts w:ascii="Times New Roman" w:hAnsi="Times New Roman" w:cs="Times New Roman"/>
          <w:sz w:val="24"/>
          <w:szCs w:val="24"/>
        </w:rPr>
        <w:t>Hipp</w:t>
      </w:r>
      <w:proofErr w:type="spellEnd"/>
      <w:r w:rsidRPr="00BD70A2">
        <w:rPr>
          <w:rFonts w:ascii="Times New Roman" w:hAnsi="Times New Roman" w:cs="Times New Roman"/>
          <w:sz w:val="24"/>
          <w:szCs w:val="24"/>
        </w:rPr>
        <w:t xml:space="preserve"> JR, Chamberlain AW. Foreclosures and crime: A city-level analysis in Southern California of a dynamic process. Social Science Research. </w:t>
      </w:r>
      <w:proofErr w:type="gramStart"/>
      <w:r w:rsidRPr="00BD70A2">
        <w:rPr>
          <w:rFonts w:ascii="Times New Roman" w:hAnsi="Times New Roman" w:cs="Times New Roman"/>
          <w:sz w:val="24"/>
          <w:szCs w:val="24"/>
        </w:rPr>
        <w:t>2015;51:219</w:t>
      </w:r>
      <w:proofErr w:type="gramEnd"/>
      <w:r w:rsidRPr="00BD70A2">
        <w:rPr>
          <w:rFonts w:ascii="Times New Roman" w:hAnsi="Times New Roman" w:cs="Times New Roman"/>
          <w:sz w:val="24"/>
          <w:szCs w:val="24"/>
        </w:rPr>
        <w:t xml:space="preserve">-232. </w:t>
      </w:r>
      <w:proofErr w:type="gramStart"/>
      <w:r w:rsidRPr="00BD70A2">
        <w:rPr>
          <w:rFonts w:ascii="Times New Roman" w:hAnsi="Times New Roman" w:cs="Times New Roman"/>
          <w:sz w:val="24"/>
          <w:szCs w:val="24"/>
        </w:rPr>
        <w:t>doi:10.1016/j.ssresearch</w:t>
      </w:r>
      <w:proofErr w:type="gramEnd"/>
      <w:r w:rsidRPr="00BD70A2">
        <w:rPr>
          <w:rFonts w:ascii="Times New Roman" w:hAnsi="Times New Roman" w:cs="Times New Roman"/>
          <w:sz w:val="24"/>
          <w:szCs w:val="24"/>
        </w:rPr>
        <w:t>.2014.09.009</w:t>
      </w:r>
    </w:p>
    <w:p w14:paraId="4F525CBC" w14:textId="796BAFF8" w:rsidR="00A5418A" w:rsidRPr="00A5418A" w:rsidRDefault="00A5418A" w:rsidP="00A5418A">
      <w:pPr>
        <w:rPr>
          <w:rFonts w:ascii="Times New Roman" w:hAnsi="Times New Roman" w:cs="Times New Roman"/>
          <w:sz w:val="24"/>
          <w:szCs w:val="24"/>
        </w:rPr>
      </w:pPr>
    </w:p>
    <w:sectPr w:rsidR="00A5418A" w:rsidRPr="00A5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Franklin Gothic Medium Cond"/>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6FF4"/>
    <w:multiLevelType w:val="hybridMultilevel"/>
    <w:tmpl w:val="5394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77656"/>
    <w:multiLevelType w:val="hybridMultilevel"/>
    <w:tmpl w:val="D208F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92EA4"/>
    <w:multiLevelType w:val="hybridMultilevel"/>
    <w:tmpl w:val="792E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A5C5F"/>
    <w:multiLevelType w:val="hybridMultilevel"/>
    <w:tmpl w:val="6530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D4DC2"/>
    <w:multiLevelType w:val="hybridMultilevel"/>
    <w:tmpl w:val="F2D6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FB"/>
    <w:rsid w:val="00007841"/>
    <w:rsid w:val="000275E2"/>
    <w:rsid w:val="00030505"/>
    <w:rsid w:val="00046564"/>
    <w:rsid w:val="00046709"/>
    <w:rsid w:val="00062DBB"/>
    <w:rsid w:val="00077C4D"/>
    <w:rsid w:val="000B263E"/>
    <w:rsid w:val="000E3020"/>
    <w:rsid w:val="0010049A"/>
    <w:rsid w:val="00120EC5"/>
    <w:rsid w:val="001264D3"/>
    <w:rsid w:val="00140FE3"/>
    <w:rsid w:val="00141EFC"/>
    <w:rsid w:val="001621C3"/>
    <w:rsid w:val="001727C7"/>
    <w:rsid w:val="001818ED"/>
    <w:rsid w:val="00182AC1"/>
    <w:rsid w:val="00185FD5"/>
    <w:rsid w:val="00193586"/>
    <w:rsid w:val="001B39C2"/>
    <w:rsid w:val="001E5A44"/>
    <w:rsid w:val="0020131B"/>
    <w:rsid w:val="00215C34"/>
    <w:rsid w:val="002213B3"/>
    <w:rsid w:val="00221847"/>
    <w:rsid w:val="002473D1"/>
    <w:rsid w:val="002577F4"/>
    <w:rsid w:val="00263338"/>
    <w:rsid w:val="0028709F"/>
    <w:rsid w:val="002A361F"/>
    <w:rsid w:val="002C0081"/>
    <w:rsid w:val="002F44DD"/>
    <w:rsid w:val="0033166F"/>
    <w:rsid w:val="003402D1"/>
    <w:rsid w:val="00354A69"/>
    <w:rsid w:val="00365E6D"/>
    <w:rsid w:val="0038400C"/>
    <w:rsid w:val="003B440D"/>
    <w:rsid w:val="003C644F"/>
    <w:rsid w:val="003E7F33"/>
    <w:rsid w:val="004342AE"/>
    <w:rsid w:val="004369F2"/>
    <w:rsid w:val="004437E5"/>
    <w:rsid w:val="00446E61"/>
    <w:rsid w:val="004547F5"/>
    <w:rsid w:val="004A3C07"/>
    <w:rsid w:val="004C4342"/>
    <w:rsid w:val="004D6F8F"/>
    <w:rsid w:val="004E239A"/>
    <w:rsid w:val="004E258C"/>
    <w:rsid w:val="004F67C3"/>
    <w:rsid w:val="00511268"/>
    <w:rsid w:val="00522974"/>
    <w:rsid w:val="005520EA"/>
    <w:rsid w:val="00565516"/>
    <w:rsid w:val="00567A3E"/>
    <w:rsid w:val="005754F5"/>
    <w:rsid w:val="00591DCB"/>
    <w:rsid w:val="005977DB"/>
    <w:rsid w:val="00597A10"/>
    <w:rsid w:val="005A1C2F"/>
    <w:rsid w:val="005E374F"/>
    <w:rsid w:val="005E69BE"/>
    <w:rsid w:val="00612447"/>
    <w:rsid w:val="006315B8"/>
    <w:rsid w:val="00632832"/>
    <w:rsid w:val="006422C5"/>
    <w:rsid w:val="00665966"/>
    <w:rsid w:val="00686C44"/>
    <w:rsid w:val="00690496"/>
    <w:rsid w:val="006D2495"/>
    <w:rsid w:val="00710E4C"/>
    <w:rsid w:val="00711972"/>
    <w:rsid w:val="00723A67"/>
    <w:rsid w:val="00737C2C"/>
    <w:rsid w:val="00756C6C"/>
    <w:rsid w:val="00764606"/>
    <w:rsid w:val="00776349"/>
    <w:rsid w:val="00783193"/>
    <w:rsid w:val="00797E84"/>
    <w:rsid w:val="008372FB"/>
    <w:rsid w:val="00851569"/>
    <w:rsid w:val="008630B8"/>
    <w:rsid w:val="0091707B"/>
    <w:rsid w:val="00936066"/>
    <w:rsid w:val="009532A0"/>
    <w:rsid w:val="00962471"/>
    <w:rsid w:val="0097690E"/>
    <w:rsid w:val="00997B6F"/>
    <w:rsid w:val="009D025D"/>
    <w:rsid w:val="009D5B07"/>
    <w:rsid w:val="00A16BCA"/>
    <w:rsid w:val="00A44551"/>
    <w:rsid w:val="00A47AB0"/>
    <w:rsid w:val="00A50703"/>
    <w:rsid w:val="00A5418A"/>
    <w:rsid w:val="00A55185"/>
    <w:rsid w:val="00A56207"/>
    <w:rsid w:val="00A94D9E"/>
    <w:rsid w:val="00AA40CE"/>
    <w:rsid w:val="00AB23A5"/>
    <w:rsid w:val="00AE0507"/>
    <w:rsid w:val="00AF1A20"/>
    <w:rsid w:val="00AF6D8A"/>
    <w:rsid w:val="00B074ED"/>
    <w:rsid w:val="00B10432"/>
    <w:rsid w:val="00B2027A"/>
    <w:rsid w:val="00B243EC"/>
    <w:rsid w:val="00B5438A"/>
    <w:rsid w:val="00B721E7"/>
    <w:rsid w:val="00B75199"/>
    <w:rsid w:val="00B84154"/>
    <w:rsid w:val="00B96ABC"/>
    <w:rsid w:val="00B96D4E"/>
    <w:rsid w:val="00B973A8"/>
    <w:rsid w:val="00BA7715"/>
    <w:rsid w:val="00BB25A2"/>
    <w:rsid w:val="00BD2822"/>
    <w:rsid w:val="00BD70A2"/>
    <w:rsid w:val="00BF5134"/>
    <w:rsid w:val="00BF5BD9"/>
    <w:rsid w:val="00C23A94"/>
    <w:rsid w:val="00C321B7"/>
    <w:rsid w:val="00C33FE2"/>
    <w:rsid w:val="00C4490B"/>
    <w:rsid w:val="00C4578D"/>
    <w:rsid w:val="00C6379D"/>
    <w:rsid w:val="00C65B5A"/>
    <w:rsid w:val="00C67F8E"/>
    <w:rsid w:val="00CA4D4A"/>
    <w:rsid w:val="00D00793"/>
    <w:rsid w:val="00D06F08"/>
    <w:rsid w:val="00D110B9"/>
    <w:rsid w:val="00D23E0D"/>
    <w:rsid w:val="00D358AB"/>
    <w:rsid w:val="00D52599"/>
    <w:rsid w:val="00D63266"/>
    <w:rsid w:val="00D64176"/>
    <w:rsid w:val="00D65B1E"/>
    <w:rsid w:val="00D66D2F"/>
    <w:rsid w:val="00D81EC9"/>
    <w:rsid w:val="00D83CDA"/>
    <w:rsid w:val="00D84FC6"/>
    <w:rsid w:val="00DA5144"/>
    <w:rsid w:val="00DB0F5C"/>
    <w:rsid w:val="00DC2365"/>
    <w:rsid w:val="00DD7C7C"/>
    <w:rsid w:val="00E05E9D"/>
    <w:rsid w:val="00E130D8"/>
    <w:rsid w:val="00E27499"/>
    <w:rsid w:val="00E45B6E"/>
    <w:rsid w:val="00E55DA5"/>
    <w:rsid w:val="00E61A7A"/>
    <w:rsid w:val="00E620CA"/>
    <w:rsid w:val="00E64C48"/>
    <w:rsid w:val="00E70602"/>
    <w:rsid w:val="00E73C3F"/>
    <w:rsid w:val="00E7474E"/>
    <w:rsid w:val="00E83278"/>
    <w:rsid w:val="00E94CCB"/>
    <w:rsid w:val="00EC2C95"/>
    <w:rsid w:val="00EC2D48"/>
    <w:rsid w:val="00EC6CCE"/>
    <w:rsid w:val="00EE5D92"/>
    <w:rsid w:val="00EF64A1"/>
    <w:rsid w:val="00F103D5"/>
    <w:rsid w:val="00F2258B"/>
    <w:rsid w:val="00F36133"/>
    <w:rsid w:val="00F45C0B"/>
    <w:rsid w:val="00F5168A"/>
    <w:rsid w:val="00F60889"/>
    <w:rsid w:val="00F6733B"/>
    <w:rsid w:val="00FA2C2D"/>
    <w:rsid w:val="00FA6E9E"/>
    <w:rsid w:val="00FB413C"/>
    <w:rsid w:val="00FE4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4C512"/>
  <w15:docId w15:val="{2C059477-BAE2-44BF-B1D3-C032DB33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7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7F4"/>
    <w:pPr>
      <w:ind w:left="720"/>
      <w:contextualSpacing/>
    </w:pPr>
  </w:style>
  <w:style w:type="character" w:styleId="CommentReference">
    <w:name w:val="annotation reference"/>
    <w:basedOn w:val="DefaultParagraphFont"/>
    <w:uiPriority w:val="99"/>
    <w:semiHidden/>
    <w:unhideWhenUsed/>
    <w:rsid w:val="00A44551"/>
    <w:rPr>
      <w:sz w:val="18"/>
      <w:szCs w:val="18"/>
    </w:rPr>
  </w:style>
  <w:style w:type="paragraph" w:styleId="CommentText">
    <w:name w:val="annotation text"/>
    <w:basedOn w:val="Normal"/>
    <w:link w:val="CommentTextChar"/>
    <w:uiPriority w:val="99"/>
    <w:semiHidden/>
    <w:unhideWhenUsed/>
    <w:rsid w:val="00A44551"/>
    <w:pPr>
      <w:spacing w:line="240" w:lineRule="auto"/>
    </w:pPr>
    <w:rPr>
      <w:sz w:val="24"/>
      <w:szCs w:val="24"/>
    </w:rPr>
  </w:style>
  <w:style w:type="character" w:customStyle="1" w:styleId="CommentTextChar">
    <w:name w:val="Comment Text Char"/>
    <w:basedOn w:val="DefaultParagraphFont"/>
    <w:link w:val="CommentText"/>
    <w:uiPriority w:val="99"/>
    <w:semiHidden/>
    <w:rsid w:val="00A44551"/>
    <w:rPr>
      <w:sz w:val="24"/>
      <w:szCs w:val="24"/>
    </w:rPr>
  </w:style>
  <w:style w:type="paragraph" w:styleId="CommentSubject">
    <w:name w:val="annotation subject"/>
    <w:basedOn w:val="CommentText"/>
    <w:next w:val="CommentText"/>
    <w:link w:val="CommentSubjectChar"/>
    <w:uiPriority w:val="99"/>
    <w:semiHidden/>
    <w:unhideWhenUsed/>
    <w:rsid w:val="00A44551"/>
    <w:rPr>
      <w:b/>
      <w:bCs/>
      <w:sz w:val="20"/>
      <w:szCs w:val="20"/>
    </w:rPr>
  </w:style>
  <w:style w:type="character" w:customStyle="1" w:styleId="CommentSubjectChar">
    <w:name w:val="Comment Subject Char"/>
    <w:basedOn w:val="CommentTextChar"/>
    <w:link w:val="CommentSubject"/>
    <w:uiPriority w:val="99"/>
    <w:semiHidden/>
    <w:rsid w:val="00A44551"/>
    <w:rPr>
      <w:b/>
      <w:bCs/>
      <w:sz w:val="20"/>
      <w:szCs w:val="20"/>
    </w:rPr>
  </w:style>
  <w:style w:type="paragraph" w:styleId="BalloonText">
    <w:name w:val="Balloon Text"/>
    <w:basedOn w:val="Normal"/>
    <w:link w:val="BalloonTextChar"/>
    <w:uiPriority w:val="99"/>
    <w:semiHidden/>
    <w:unhideWhenUsed/>
    <w:rsid w:val="00A445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551"/>
    <w:rPr>
      <w:rFonts w:ascii="Lucida Grande" w:hAnsi="Lucida Grande" w:cs="Lucida Grande"/>
      <w:sz w:val="18"/>
      <w:szCs w:val="18"/>
    </w:rPr>
  </w:style>
  <w:style w:type="character" w:customStyle="1" w:styleId="Heading1Char">
    <w:name w:val="Heading 1 Char"/>
    <w:basedOn w:val="DefaultParagraphFont"/>
    <w:link w:val="Heading1"/>
    <w:uiPriority w:val="9"/>
    <w:rsid w:val="004F67C3"/>
    <w:rPr>
      <w:rFonts w:ascii="Times New Roman" w:eastAsia="Times New Roman" w:hAnsi="Times New Roman" w:cs="Times New Roman"/>
      <w:b/>
      <w:bCs/>
      <w:kern w:val="36"/>
      <w:sz w:val="48"/>
      <w:szCs w:val="48"/>
    </w:rPr>
  </w:style>
  <w:style w:type="character" w:customStyle="1" w:styleId="title-text">
    <w:name w:val="title-text"/>
    <w:basedOn w:val="DefaultParagraphFont"/>
    <w:rsid w:val="004F67C3"/>
  </w:style>
  <w:style w:type="paragraph" w:customStyle="1" w:styleId="Default">
    <w:name w:val="Default"/>
    <w:rsid w:val="00B75199"/>
    <w:pPr>
      <w:autoSpaceDE w:val="0"/>
      <w:autoSpaceDN w:val="0"/>
      <w:adjustRightInd w:val="0"/>
      <w:spacing w:after="0" w:line="240" w:lineRule="auto"/>
    </w:pPr>
    <w:rPr>
      <w:rFonts w:ascii="Verdana" w:hAnsi="Verdana" w:cs="Verdana"/>
      <w:color w:val="000000"/>
      <w:sz w:val="24"/>
      <w:szCs w:val="24"/>
    </w:rPr>
  </w:style>
  <w:style w:type="paragraph" w:styleId="Bibliography">
    <w:name w:val="Bibliography"/>
    <w:basedOn w:val="Normal"/>
    <w:next w:val="Normal"/>
    <w:uiPriority w:val="37"/>
    <w:unhideWhenUsed/>
    <w:rsid w:val="00A5418A"/>
    <w:pPr>
      <w:tabs>
        <w:tab w:val="left" w:pos="384"/>
      </w:tabs>
      <w:spacing w:after="240" w:line="240" w:lineRule="auto"/>
      <w:ind w:left="384" w:hanging="384"/>
    </w:pPr>
  </w:style>
  <w:style w:type="paragraph" w:styleId="Revision">
    <w:name w:val="Revision"/>
    <w:hidden/>
    <w:uiPriority w:val="99"/>
    <w:semiHidden/>
    <w:rsid w:val="00D65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6297">
      <w:bodyDiv w:val="1"/>
      <w:marLeft w:val="0"/>
      <w:marRight w:val="0"/>
      <w:marTop w:val="0"/>
      <w:marBottom w:val="0"/>
      <w:divBdr>
        <w:top w:val="none" w:sz="0" w:space="0" w:color="auto"/>
        <w:left w:val="none" w:sz="0" w:space="0" w:color="auto"/>
        <w:bottom w:val="none" w:sz="0" w:space="0" w:color="auto"/>
        <w:right w:val="none" w:sz="0" w:space="0" w:color="auto"/>
      </w:divBdr>
    </w:div>
    <w:div w:id="298727281">
      <w:bodyDiv w:val="1"/>
      <w:marLeft w:val="0"/>
      <w:marRight w:val="0"/>
      <w:marTop w:val="0"/>
      <w:marBottom w:val="0"/>
      <w:divBdr>
        <w:top w:val="none" w:sz="0" w:space="0" w:color="auto"/>
        <w:left w:val="none" w:sz="0" w:space="0" w:color="auto"/>
        <w:bottom w:val="none" w:sz="0" w:space="0" w:color="auto"/>
        <w:right w:val="none" w:sz="0" w:space="0" w:color="auto"/>
      </w:divBdr>
    </w:div>
    <w:div w:id="307902880">
      <w:bodyDiv w:val="1"/>
      <w:marLeft w:val="0"/>
      <w:marRight w:val="0"/>
      <w:marTop w:val="0"/>
      <w:marBottom w:val="0"/>
      <w:divBdr>
        <w:top w:val="none" w:sz="0" w:space="0" w:color="auto"/>
        <w:left w:val="none" w:sz="0" w:space="0" w:color="auto"/>
        <w:bottom w:val="none" w:sz="0" w:space="0" w:color="auto"/>
        <w:right w:val="none" w:sz="0" w:space="0" w:color="auto"/>
      </w:divBdr>
    </w:div>
    <w:div w:id="484704696">
      <w:bodyDiv w:val="1"/>
      <w:marLeft w:val="0"/>
      <w:marRight w:val="0"/>
      <w:marTop w:val="0"/>
      <w:marBottom w:val="0"/>
      <w:divBdr>
        <w:top w:val="none" w:sz="0" w:space="0" w:color="auto"/>
        <w:left w:val="none" w:sz="0" w:space="0" w:color="auto"/>
        <w:bottom w:val="none" w:sz="0" w:space="0" w:color="auto"/>
        <w:right w:val="none" w:sz="0" w:space="0" w:color="auto"/>
      </w:divBdr>
    </w:div>
    <w:div w:id="530387362">
      <w:bodyDiv w:val="1"/>
      <w:marLeft w:val="0"/>
      <w:marRight w:val="0"/>
      <w:marTop w:val="0"/>
      <w:marBottom w:val="0"/>
      <w:divBdr>
        <w:top w:val="none" w:sz="0" w:space="0" w:color="auto"/>
        <w:left w:val="none" w:sz="0" w:space="0" w:color="auto"/>
        <w:bottom w:val="none" w:sz="0" w:space="0" w:color="auto"/>
        <w:right w:val="none" w:sz="0" w:space="0" w:color="auto"/>
      </w:divBdr>
    </w:div>
    <w:div w:id="538200200">
      <w:bodyDiv w:val="1"/>
      <w:marLeft w:val="0"/>
      <w:marRight w:val="0"/>
      <w:marTop w:val="0"/>
      <w:marBottom w:val="0"/>
      <w:divBdr>
        <w:top w:val="none" w:sz="0" w:space="0" w:color="auto"/>
        <w:left w:val="none" w:sz="0" w:space="0" w:color="auto"/>
        <w:bottom w:val="none" w:sz="0" w:space="0" w:color="auto"/>
        <w:right w:val="none" w:sz="0" w:space="0" w:color="auto"/>
      </w:divBdr>
    </w:div>
    <w:div w:id="720979999">
      <w:bodyDiv w:val="1"/>
      <w:marLeft w:val="0"/>
      <w:marRight w:val="0"/>
      <w:marTop w:val="0"/>
      <w:marBottom w:val="0"/>
      <w:divBdr>
        <w:top w:val="none" w:sz="0" w:space="0" w:color="auto"/>
        <w:left w:val="none" w:sz="0" w:space="0" w:color="auto"/>
        <w:bottom w:val="none" w:sz="0" w:space="0" w:color="auto"/>
        <w:right w:val="none" w:sz="0" w:space="0" w:color="auto"/>
      </w:divBdr>
    </w:div>
    <w:div w:id="821193084">
      <w:bodyDiv w:val="1"/>
      <w:marLeft w:val="0"/>
      <w:marRight w:val="0"/>
      <w:marTop w:val="0"/>
      <w:marBottom w:val="0"/>
      <w:divBdr>
        <w:top w:val="none" w:sz="0" w:space="0" w:color="auto"/>
        <w:left w:val="none" w:sz="0" w:space="0" w:color="auto"/>
        <w:bottom w:val="none" w:sz="0" w:space="0" w:color="auto"/>
        <w:right w:val="none" w:sz="0" w:space="0" w:color="auto"/>
      </w:divBdr>
    </w:div>
    <w:div w:id="923028261">
      <w:bodyDiv w:val="1"/>
      <w:marLeft w:val="0"/>
      <w:marRight w:val="0"/>
      <w:marTop w:val="0"/>
      <w:marBottom w:val="0"/>
      <w:divBdr>
        <w:top w:val="none" w:sz="0" w:space="0" w:color="auto"/>
        <w:left w:val="none" w:sz="0" w:space="0" w:color="auto"/>
        <w:bottom w:val="none" w:sz="0" w:space="0" w:color="auto"/>
        <w:right w:val="none" w:sz="0" w:space="0" w:color="auto"/>
      </w:divBdr>
    </w:div>
    <w:div w:id="942685307">
      <w:bodyDiv w:val="1"/>
      <w:marLeft w:val="0"/>
      <w:marRight w:val="0"/>
      <w:marTop w:val="0"/>
      <w:marBottom w:val="0"/>
      <w:divBdr>
        <w:top w:val="none" w:sz="0" w:space="0" w:color="auto"/>
        <w:left w:val="none" w:sz="0" w:space="0" w:color="auto"/>
        <w:bottom w:val="none" w:sz="0" w:space="0" w:color="auto"/>
        <w:right w:val="none" w:sz="0" w:space="0" w:color="auto"/>
      </w:divBdr>
    </w:div>
    <w:div w:id="1008097051">
      <w:bodyDiv w:val="1"/>
      <w:marLeft w:val="0"/>
      <w:marRight w:val="0"/>
      <w:marTop w:val="0"/>
      <w:marBottom w:val="0"/>
      <w:divBdr>
        <w:top w:val="none" w:sz="0" w:space="0" w:color="auto"/>
        <w:left w:val="none" w:sz="0" w:space="0" w:color="auto"/>
        <w:bottom w:val="none" w:sz="0" w:space="0" w:color="auto"/>
        <w:right w:val="none" w:sz="0" w:space="0" w:color="auto"/>
      </w:divBdr>
    </w:div>
    <w:div w:id="1049258417">
      <w:bodyDiv w:val="1"/>
      <w:marLeft w:val="0"/>
      <w:marRight w:val="0"/>
      <w:marTop w:val="0"/>
      <w:marBottom w:val="0"/>
      <w:divBdr>
        <w:top w:val="none" w:sz="0" w:space="0" w:color="auto"/>
        <w:left w:val="none" w:sz="0" w:space="0" w:color="auto"/>
        <w:bottom w:val="none" w:sz="0" w:space="0" w:color="auto"/>
        <w:right w:val="none" w:sz="0" w:space="0" w:color="auto"/>
      </w:divBdr>
    </w:div>
    <w:div w:id="1171724650">
      <w:bodyDiv w:val="1"/>
      <w:marLeft w:val="0"/>
      <w:marRight w:val="0"/>
      <w:marTop w:val="0"/>
      <w:marBottom w:val="0"/>
      <w:divBdr>
        <w:top w:val="none" w:sz="0" w:space="0" w:color="auto"/>
        <w:left w:val="none" w:sz="0" w:space="0" w:color="auto"/>
        <w:bottom w:val="none" w:sz="0" w:space="0" w:color="auto"/>
        <w:right w:val="none" w:sz="0" w:space="0" w:color="auto"/>
      </w:divBdr>
    </w:div>
    <w:div w:id="1222181661">
      <w:bodyDiv w:val="1"/>
      <w:marLeft w:val="0"/>
      <w:marRight w:val="0"/>
      <w:marTop w:val="0"/>
      <w:marBottom w:val="0"/>
      <w:divBdr>
        <w:top w:val="none" w:sz="0" w:space="0" w:color="auto"/>
        <w:left w:val="none" w:sz="0" w:space="0" w:color="auto"/>
        <w:bottom w:val="none" w:sz="0" w:space="0" w:color="auto"/>
        <w:right w:val="none" w:sz="0" w:space="0" w:color="auto"/>
      </w:divBdr>
    </w:div>
    <w:div w:id="1255435041">
      <w:bodyDiv w:val="1"/>
      <w:marLeft w:val="0"/>
      <w:marRight w:val="0"/>
      <w:marTop w:val="0"/>
      <w:marBottom w:val="0"/>
      <w:divBdr>
        <w:top w:val="none" w:sz="0" w:space="0" w:color="auto"/>
        <w:left w:val="none" w:sz="0" w:space="0" w:color="auto"/>
        <w:bottom w:val="none" w:sz="0" w:space="0" w:color="auto"/>
        <w:right w:val="none" w:sz="0" w:space="0" w:color="auto"/>
      </w:divBdr>
    </w:div>
    <w:div w:id="1283070433">
      <w:bodyDiv w:val="1"/>
      <w:marLeft w:val="0"/>
      <w:marRight w:val="0"/>
      <w:marTop w:val="0"/>
      <w:marBottom w:val="0"/>
      <w:divBdr>
        <w:top w:val="none" w:sz="0" w:space="0" w:color="auto"/>
        <w:left w:val="none" w:sz="0" w:space="0" w:color="auto"/>
        <w:bottom w:val="none" w:sz="0" w:space="0" w:color="auto"/>
        <w:right w:val="none" w:sz="0" w:space="0" w:color="auto"/>
      </w:divBdr>
    </w:div>
    <w:div w:id="1514802133">
      <w:bodyDiv w:val="1"/>
      <w:marLeft w:val="0"/>
      <w:marRight w:val="0"/>
      <w:marTop w:val="0"/>
      <w:marBottom w:val="0"/>
      <w:divBdr>
        <w:top w:val="none" w:sz="0" w:space="0" w:color="auto"/>
        <w:left w:val="none" w:sz="0" w:space="0" w:color="auto"/>
        <w:bottom w:val="none" w:sz="0" w:space="0" w:color="auto"/>
        <w:right w:val="none" w:sz="0" w:space="0" w:color="auto"/>
      </w:divBdr>
    </w:div>
    <w:div w:id="1558516082">
      <w:bodyDiv w:val="1"/>
      <w:marLeft w:val="0"/>
      <w:marRight w:val="0"/>
      <w:marTop w:val="0"/>
      <w:marBottom w:val="0"/>
      <w:divBdr>
        <w:top w:val="none" w:sz="0" w:space="0" w:color="auto"/>
        <w:left w:val="none" w:sz="0" w:space="0" w:color="auto"/>
        <w:bottom w:val="none" w:sz="0" w:space="0" w:color="auto"/>
        <w:right w:val="none" w:sz="0" w:space="0" w:color="auto"/>
      </w:divBdr>
    </w:div>
    <w:div w:id="1563061791">
      <w:bodyDiv w:val="1"/>
      <w:marLeft w:val="0"/>
      <w:marRight w:val="0"/>
      <w:marTop w:val="0"/>
      <w:marBottom w:val="0"/>
      <w:divBdr>
        <w:top w:val="none" w:sz="0" w:space="0" w:color="auto"/>
        <w:left w:val="none" w:sz="0" w:space="0" w:color="auto"/>
        <w:bottom w:val="none" w:sz="0" w:space="0" w:color="auto"/>
        <w:right w:val="none" w:sz="0" w:space="0" w:color="auto"/>
      </w:divBdr>
    </w:div>
    <w:div w:id="1652440424">
      <w:bodyDiv w:val="1"/>
      <w:marLeft w:val="0"/>
      <w:marRight w:val="0"/>
      <w:marTop w:val="0"/>
      <w:marBottom w:val="0"/>
      <w:divBdr>
        <w:top w:val="none" w:sz="0" w:space="0" w:color="auto"/>
        <w:left w:val="none" w:sz="0" w:space="0" w:color="auto"/>
        <w:bottom w:val="none" w:sz="0" w:space="0" w:color="auto"/>
        <w:right w:val="none" w:sz="0" w:space="0" w:color="auto"/>
      </w:divBdr>
    </w:div>
    <w:div w:id="1947495880">
      <w:bodyDiv w:val="1"/>
      <w:marLeft w:val="0"/>
      <w:marRight w:val="0"/>
      <w:marTop w:val="0"/>
      <w:marBottom w:val="0"/>
      <w:divBdr>
        <w:top w:val="none" w:sz="0" w:space="0" w:color="auto"/>
        <w:left w:val="none" w:sz="0" w:space="0" w:color="auto"/>
        <w:bottom w:val="none" w:sz="0" w:space="0" w:color="auto"/>
        <w:right w:val="none" w:sz="0" w:space="0" w:color="auto"/>
      </w:divBdr>
    </w:div>
    <w:div w:id="1984119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1A6E7-6E9F-4FDB-9770-EDCCF120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Jeanie Santaularia</dc:creator>
  <cp:keywords/>
  <dc:description/>
  <cp:lastModifiedBy>Jeanie Santaularia</cp:lastModifiedBy>
  <cp:revision>2</cp:revision>
  <dcterms:created xsi:type="dcterms:W3CDTF">2022-02-14T20:17:00Z</dcterms:created>
  <dcterms:modified xsi:type="dcterms:W3CDTF">2022-02-14T20:17:00Z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id="5WwSCK0v"/&gt;&lt;style id="http://www.zotero.org/styles/american-medical-association" hasBibliography="1" bibliographyStyleHasBeenSet="1"/&gt;&lt;prefs&gt;&lt;pref name="fieldType" value="Field"/&gt;&lt;/prefs&gt;&lt;/data</vt:lpwstr>
  </property>
  <property fmtid="{D5CDD505-2E9C-101B-9397-08002B2CF9AE}" pid="3" name="ZOTERO_PREF_2">
    <vt:lpwstr>&gt;</vt:lpwstr>
  </property>
</Properties>
</file>