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commentRangeStart w:id="0"/>
      <w:r w:rsidDel="00000000" w:rsidR="00000000" w:rsidRPr="00000000">
        <w:rPr>
          <w:b w:val="1"/>
          <w:rtl w:val="0"/>
        </w:rPr>
        <w:t xml:space="preserve">Depression</w:t>
      </w:r>
      <w:commentRangeEnd w:id="0"/>
      <w:r w:rsidDel="00000000" w:rsidR="00000000" w:rsidRPr="00000000">
        <w:commentReference w:id="0"/>
      </w:r>
      <w:r w:rsidDel="00000000" w:rsidR="00000000" w:rsidRPr="00000000">
        <w:rPr>
          <w:b w:val="1"/>
          <w:rtl w:val="0"/>
        </w:rPr>
        <w:t xml:space="preserve"> </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Pr>
        <w:drawing>
          <wp:inline distB="114300" distT="114300" distL="114300" distR="114300">
            <wp:extent cx="5943600" cy="36703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Pr>
        <w:drawing>
          <wp:inline distB="114300" distT="114300" distL="114300" distR="114300">
            <wp:extent cx="5943600" cy="36703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5229225" cy="7210425"/>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2922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w:t>
      </w:r>
      <w:commentRangeStart w:id="1"/>
      <w:commentRangeStart w:id="2"/>
      <w:r w:rsidDel="00000000" w:rsidR="00000000" w:rsidRPr="00000000">
        <w:rPr>
          <w:rtl w:val="0"/>
        </w:rPr>
        <w:t xml:space="preserve">magnitude of the depression increase (.077) is lower </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than the overall increase (.152) but is statistically significant. The increase for Black residents is larger than the increase for White residents, but the difference between race subgroups is not as great as in the primary specifications. The RE models also show a generally similar pattern to the primary specifications, albeit with a much larger post-killing effect in the Latine model. The CD interaction is null in the </w:t>
      </w:r>
      <w:commentRangeStart w:id="3"/>
      <w:r w:rsidDel="00000000" w:rsidR="00000000" w:rsidRPr="00000000">
        <w:rPr>
          <w:rtl w:val="0"/>
        </w:rPr>
        <w:t xml:space="preserve">depression mode</w:t>
      </w:r>
      <w:commentRangeEnd w:id="3"/>
      <w:r w:rsidDel="00000000" w:rsidR="00000000" w:rsidRPr="00000000">
        <w:commentReference w:id="3"/>
      </w:r>
      <w:r w:rsidDel="00000000" w:rsidR="00000000" w:rsidRPr="00000000">
        <w:rPr>
          <w:rtl w:val="0"/>
        </w:rPr>
        <w:t xml:space="preserve">l for White residents.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6680200"/>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5943600" cy="42418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Anxiety</w:t>
      </w:r>
      <w:commentRangeStart w:id="4"/>
      <w:r w:rsidDel="00000000" w:rsidR="00000000" w:rsidRPr="00000000">
        <w:rPr>
          <w:rtl w:val="0"/>
        </w:rPr>
      </w:r>
    </w:p>
    <w:p w:rsidR="00000000" w:rsidDel="00000000" w:rsidP="00000000" w:rsidRDefault="00000000" w:rsidRPr="00000000" w14:paraId="0000000E">
      <w:pPr>
        <w:rPr>
          <w:b w:val="1"/>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36703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36703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943600" cy="80010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Although the primary anxiety specification’s post-killing effect is statistically significant, the racial subgroup models do not exhibit a similar pattern to the primary specifications. Similarly, the RE models show little impact on anxiety diagnoses, although it is consistent with the primary specifications in that the increase was greater for White residents in space of disadvantage, and the small anxiety increase for Black residents does not vary by disadvantage. </w:t>
      </w:r>
    </w:p>
    <w:p w:rsidR="00000000" w:rsidDel="00000000" w:rsidP="00000000" w:rsidRDefault="00000000" w:rsidRPr="00000000" w14:paraId="00000013">
      <w:pPr>
        <w:rPr/>
      </w:pPr>
      <w:r w:rsidDel="00000000" w:rsidR="00000000" w:rsidRPr="00000000">
        <w:rPr/>
        <w:drawing>
          <wp:inline distB="114300" distT="114300" distL="114300" distR="114300">
            <wp:extent cx="5943600" cy="6743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4241800"/>
            <wp:effectExtent b="0" l="0" r="0" t="0"/>
            <wp:docPr id="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Alcohol</w:t>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5943600" cy="3670300"/>
            <wp:effectExtent b="0" l="0" r="0" t="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3670300"/>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5943600" cy="79502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7950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drawing>
          <wp:inline distB="114300" distT="114300" distL="114300" distR="114300">
            <wp:extent cx="5943600" cy="6565900"/>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5943600" cy="4241800"/>
            <wp:effectExtent b="0" l="0" r="0" t="0"/>
            <wp:docPr id="1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Chronic</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6703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36703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7124700"/>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Chronic MH diagnoses are far less frequent (as they are just coded for a subset of MH diagnoses). The overall ITS specifications do not show any increase in Chronic MH diagnoses. The RE specifications corroborate this lack of impact.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59563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943600" cy="3467100"/>
            <wp:effectExtent b="0" l="0" r="0" t="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Acute</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3670300"/>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3670300"/>
            <wp:effectExtent b="0" l="0" r="0" t="0"/>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895975" cy="7286625"/>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895975"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Similar to the chronic models, the acute overall ITS and RE models do not show any increase in acute MH incidence. In sum the chronic and acute indicators are very infrequent and do not appreciably change from baseline levels post-killing. IMO, </w:t>
      </w:r>
      <w:commentRangeStart w:id="5"/>
      <w:r w:rsidDel="00000000" w:rsidR="00000000" w:rsidRPr="00000000">
        <w:rPr>
          <w:rtl w:val="0"/>
        </w:rPr>
        <w:t xml:space="preserve">we have limited ability to measure acute vs. chronic MH diagnoses given the limited diagnoses for which these codes exist.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6032500"/>
            <wp:effectExtent b="0" l="0" r="0" t="0"/>
            <wp:docPr id="1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3467100"/>
            <wp:effectExtent b="0" l="0" r="0" t="0"/>
            <wp:docPr id="2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Primary Specifications w/ Nonlinear Time Trends</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5943600" cy="7607300"/>
            <wp:effectExtent b="0" l="0" r="0" t="0"/>
            <wp:docPr id="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commentRangeStart w:id="6"/>
      <w:r w:rsidDel="00000000" w:rsidR="00000000" w:rsidRPr="00000000">
        <w:rPr>
          <w:rtl w:val="0"/>
        </w:rPr>
        <w:t xml:space="preserve">Our primary specifications are robust to nonlinear trends in both the pre- and posttreatment periods. The increase for Black residents is modestly increased, and the others are relatively similar</w:t>
      </w:r>
      <w:commentRangeEnd w:id="6"/>
      <w:r w:rsidDel="00000000" w:rsidR="00000000" w:rsidRPr="00000000">
        <w:commentReference w:id="6"/>
      </w:r>
      <w:r w:rsidDel="00000000" w:rsidR="00000000" w:rsidRPr="00000000">
        <w:rPr>
          <w:rtl w:val="0"/>
        </w:rPr>
        <w:t xml:space="preserve">. The RE models w/ nonlinear trends tell a very similar story to the primary RE specifications, and the interaction terms are nearly identical. </w:t>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943600" cy="6210300"/>
            <wp:effectExtent b="0" l="0" r="0" t="0"/>
            <wp:docPr id="2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opher Uggen" w:id="4" w:date="2023-08-18T13:27:09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Noting the April-May 2020 upward slope here (which continued to rise in June-July) from the low base rate in the early part of the lockdown</w:t>
      </w:r>
    </w:p>
  </w:comment>
  <w:comment w:author="Christopher Uggen" w:id="6" w:date="2023-08-18T13:20:05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important evidence that helps firm up confidence in our results</w:t>
      </w:r>
    </w:p>
  </w:comment>
  <w:comment w:author="Christopher Uggen" w:id="5" w:date="2023-08-18T13:18:27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good to mention -- this seems to be a problem of sparse or limited data rather than a problem of robustness. Maybe we could quantify this in some way. (e..g, only X% of cases were coded in this way, so we cannot make generalizations about acute v. chronic conditions based on the available data).</w:t>
      </w:r>
    </w:p>
  </w:comment>
  <w:comment w:author="Christopher Uggen" w:id="0" w:date="2023-08-18T13:25:14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depression increasing after George Floyd's murder and the uprising here (in contrast to the anxiety figure, which seems more closely tied to the lockdown). In both cases, hospitalization fell to a low level in March, but depression stayed at the low level until late-May, whereas anxiety was already on the rise prior to the murder. [I realize I may be reading too much into eyeballing the charts, but this seems plausible to me]</w:t>
      </w:r>
    </w:p>
  </w:comment>
  <w:comment w:author="Christopher Uggen" w:id="3" w:date="2023-08-18T13:13:29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 earlier paper using national comorbidity study data, we found similarly big effects of *incarceration* on depression, but not anxiety: "Specifically, incarceration is related to subsequent mood disorders, related to feeling “down,” including major depressive disorder, bipolar disorder, and dysthymia. These disorders, in turn, are strongly related to disability, more strongly than substance abuse disorders and impulse control disorders." Jason Schnittker, Michael Massoglia, and Christopher Uggen. 2012. “Out and Down: Incarceration and Psychiatric Disorders.” Journal of Health and Social Behavior 53:44864.</w:t>
      </w:r>
    </w:p>
  </w:comment>
  <w:comment w:author="Christopher Uggen" w:id="1" w:date="2023-08-18T13:06:14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likely a scale thing, right? Maybe we could express it in deviation units (e.g., X% of a standard deviation increase)?</w:t>
      </w:r>
    </w:p>
  </w:comment>
  <w:comment w:author="Ryan Larson" w:id="2" w:date="2023-08-18T20:34:41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.077 represents a  .097 SD change in depression incidence (SD(depression) = 1.26, .077*1.26=.097), and .152 represents a .63 change in MH incidence (SD(MH) = 4.18, .152*4.18=.63)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image" Target="media/image27.png"/><Relationship Id="rId10" Type="http://schemas.openxmlformats.org/officeDocument/2006/relationships/image" Target="media/image25.png"/><Relationship Id="rId32" Type="http://schemas.openxmlformats.org/officeDocument/2006/relationships/image" Target="media/image10.png"/><Relationship Id="rId13" Type="http://schemas.openxmlformats.org/officeDocument/2006/relationships/image" Target="media/image24.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