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CFFB" w14:textId="426ECEB3" w:rsidR="00A71F21" w:rsidRDefault="002970A9">
      <w:pPr>
        <w:rPr>
          <w:rFonts w:ascii="Times New Roman" w:eastAsia="Times New Roman" w:hAnsi="Times New Roman" w:cs="Times New Roman"/>
        </w:rPr>
      </w:pPr>
      <w:r>
        <w:rPr>
          <w:rFonts w:ascii="Times New Roman" w:eastAsia="Times New Roman" w:hAnsi="Times New Roman" w:cs="Times New Roman"/>
        </w:rPr>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0DC9E69" w14:textId="77777777" w:rsidR="00A71F21" w:rsidRDefault="00A71F21">
      <w:pPr>
        <w:rPr>
          <w:rFonts w:ascii="Times New Roman" w:eastAsia="Times New Roman" w:hAnsi="Times New Roman" w:cs="Times New Roman"/>
        </w:rPr>
      </w:pPr>
    </w:p>
    <w:p w14:paraId="60745C88" w14:textId="77777777" w:rsidR="00A71F21" w:rsidRDefault="00A71F21">
      <w:pPr>
        <w:rPr>
          <w:rFonts w:ascii="Times New Roman" w:eastAsia="Times New Roman" w:hAnsi="Times New Roman" w:cs="Times New Roman"/>
        </w:rPr>
      </w:pPr>
    </w:p>
    <w:p w14:paraId="6B0EAE49"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t>Abstract</w:t>
      </w:r>
    </w:p>
    <w:p w14:paraId="2D412167" w14:textId="77777777" w:rsidR="00A71F21" w:rsidRDefault="00A71F21">
      <w:pPr>
        <w:rPr>
          <w:rFonts w:ascii="Times New Roman" w:eastAsia="Times New Roman" w:hAnsi="Times New Roman" w:cs="Times New Roman"/>
        </w:rPr>
      </w:pPr>
    </w:p>
    <w:p w14:paraId="36AB4210" w14:textId="48E400B9" w:rsidR="00A71F21" w:rsidRDefault="00F075DF">
      <w:pPr>
        <w:rPr>
          <w:rFonts w:ascii="Times New Roman" w:eastAsia="Times New Roman" w:hAnsi="Times New Roman" w:cs="Times New Roman"/>
        </w:rPr>
      </w:pPr>
      <w:r>
        <w:rPr>
          <w:rFonts w:ascii="Times New Roman" w:eastAsia="Times New Roman" w:hAnsi="Times New Roman" w:cs="Times New Roman"/>
        </w:rPr>
        <w:t xml:space="preserve">The high-profile police murder of George Floyd is likely to have an aftermath of negative health consequences, particularly among Black people. Our study evaluates the impact of the murder of Mr. Floyd on mental health in Black, </w:t>
      </w:r>
      <w:proofErr w:type="spellStart"/>
      <w:r>
        <w:rPr>
          <w:rFonts w:ascii="Times New Roman" w:eastAsia="Times New Roman" w:hAnsi="Times New Roman" w:cs="Times New Roman"/>
        </w:rPr>
        <w:t>Latine</w:t>
      </w:r>
      <w:proofErr w:type="spellEnd"/>
      <w:r w:rsidR="004C4558">
        <w:rPr>
          <w:rFonts w:ascii="Times New Roman" w:eastAsia="Times New Roman" w:hAnsi="Times New Roman" w:cs="Times New Roman"/>
        </w:rPr>
        <w:t>,</w:t>
      </w:r>
      <w:r>
        <w:rPr>
          <w:rFonts w:ascii="Times New Roman" w:eastAsia="Times New Roman" w:hAnsi="Times New Roman" w:cs="Times New Roman"/>
        </w:rPr>
        <w:t xml:space="preserve"> and white communities in Minneapolis, Minnesota. </w:t>
      </w:r>
      <w:r w:rsidR="004C4558">
        <w:rPr>
          <w:rFonts w:ascii="Times New Roman" w:eastAsia="Times New Roman" w:hAnsi="Times New Roman" w:cs="Times New Roman"/>
        </w:rPr>
        <w:t>We</w:t>
      </w:r>
      <w:r>
        <w:rPr>
          <w:rFonts w:ascii="Times New Roman" w:eastAsia="Times New Roman" w:hAnsi="Times New Roman" w:cs="Times New Roman"/>
        </w:rPr>
        <w:t xml:space="preserve"> constructed </w:t>
      </w:r>
      <w:r w:rsidR="004C4558">
        <w:rPr>
          <w:rFonts w:ascii="Times New Roman" w:eastAsia="Times New Roman" w:hAnsi="Times New Roman" w:cs="Times New Roman"/>
        </w:rPr>
        <w:t xml:space="preserve">a </w:t>
      </w:r>
      <w:r>
        <w:rPr>
          <w:rFonts w:ascii="Times New Roman" w:eastAsia="Times New Roman" w:hAnsi="Times New Roman" w:cs="Times New Roman"/>
        </w:rPr>
        <w:t>panel dataset merging data from the Minnesota Hospital Association, Minnesota Department of Natural Resources, Minneapolis Police Department, and American Community Survey</w:t>
      </w:r>
      <w:r w:rsidR="004C4558">
        <w:rPr>
          <w:rFonts w:ascii="Times New Roman" w:eastAsia="Times New Roman" w:hAnsi="Times New Roman" w:cs="Times New Roman"/>
        </w:rPr>
        <w:t xml:space="preserve">. First, we specify an overall and racial subgroup autoregressive </w:t>
      </w:r>
      <w:r>
        <w:rPr>
          <w:rFonts w:ascii="Times New Roman" w:eastAsia="Times New Roman" w:hAnsi="Times New Roman" w:cs="Times New Roman"/>
        </w:rPr>
        <w:t xml:space="preserve">interrupted time-series design to identify the </w:t>
      </w:r>
      <w:r w:rsidR="004C4558">
        <w:rPr>
          <w:rFonts w:ascii="Times New Roman" w:eastAsia="Times New Roman" w:hAnsi="Times New Roman" w:cs="Times New Roman"/>
        </w:rPr>
        <w:t>impact</w:t>
      </w:r>
      <w:r>
        <w:rPr>
          <w:rFonts w:ascii="Times New Roman" w:eastAsia="Times New Roman" w:hAnsi="Times New Roman" w:cs="Times New Roman"/>
        </w:rPr>
        <w:t xml:space="preserve"> of the murder on rates of mental health hospital discharge</w:t>
      </w:r>
      <w:r w:rsidR="004C4558">
        <w:rPr>
          <w:rFonts w:ascii="Times New Roman" w:eastAsia="Times New Roman" w:hAnsi="Times New Roman" w:cs="Times New Roman"/>
        </w:rPr>
        <w:t xml:space="preserve"> at the city-level</w:t>
      </w:r>
      <w:r>
        <w:rPr>
          <w:rFonts w:ascii="Times New Roman" w:eastAsia="Times New Roman" w:hAnsi="Times New Roman" w:cs="Times New Roman"/>
        </w:rPr>
        <w:t xml:space="preserve">. We then examine the spatial heterogeneity in the effect of the murder by specifying zip code tabulation area (ZCTA)-level panel models. We find a 0.23 per 1,000 increase in mental health conditions among Black people in the immediate post-murder period, followed by a weekly decline (-.007) in mental health diagnoses. </w:t>
      </w:r>
      <w:r w:rsidR="003947B4">
        <w:rPr>
          <w:rFonts w:ascii="Times New Roman" w:eastAsia="Times New Roman" w:hAnsi="Times New Roman" w:cs="Times New Roman"/>
        </w:rPr>
        <w:t xml:space="preserve">We </w:t>
      </w:r>
      <w:r>
        <w:rPr>
          <w:rFonts w:ascii="Times New Roman" w:eastAsia="Times New Roman" w:hAnsi="Times New Roman" w:cs="Times New Roman"/>
        </w:rPr>
        <w:t xml:space="preserve">do not find a substantial rate increase in White 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Further, our analyses at the ZCTA-week-level corroborate these findings, while showing that the increase for Black residents was </w:t>
      </w:r>
      <w:r>
        <w:rPr>
          <w:rFonts w:ascii="Times New Roman" w:eastAsia="Times New Roman" w:hAnsi="Times New Roman" w:cs="Times New Roman"/>
          <w:i/>
        </w:rPr>
        <w:t>global</w:t>
      </w:r>
      <w:r>
        <w:rPr>
          <w:rFonts w:ascii="Times New Roman" w:eastAsia="Times New Roman" w:hAnsi="Times New Roman" w:cs="Times New Roman"/>
        </w:rPr>
        <w:t xml:space="preserve">. These findings speak to the traumatizing effects of police violence and the short- and longer-term public health consequences for </w:t>
      </w:r>
      <w:r w:rsidR="004C4558">
        <w:rPr>
          <w:rFonts w:ascii="Times New Roman" w:eastAsia="Times New Roman" w:hAnsi="Times New Roman" w:cs="Times New Roman"/>
        </w:rPr>
        <w:t xml:space="preserve">Black </w:t>
      </w:r>
      <w:r>
        <w:rPr>
          <w:rFonts w:ascii="Times New Roman" w:eastAsia="Times New Roman" w:hAnsi="Times New Roman" w:cs="Times New Roman"/>
        </w:rPr>
        <w:t>communities</w:t>
      </w:r>
      <w:r w:rsidR="004C4558">
        <w:rPr>
          <w:rFonts w:ascii="Times New Roman" w:eastAsia="Times New Roman" w:hAnsi="Times New Roman" w:cs="Times New Roman"/>
        </w:rPr>
        <w:t>.</w:t>
      </w:r>
      <w:r>
        <w:rPr>
          <w:rFonts w:ascii="Times New Roman" w:eastAsia="Times New Roman" w:hAnsi="Times New Roman" w:cs="Times New Roman"/>
        </w:rPr>
        <w:t xml:space="preserve"> </w:t>
      </w:r>
    </w:p>
    <w:p w14:paraId="63122AE4" w14:textId="77777777" w:rsidR="00A71F21" w:rsidRDefault="00A71F21">
      <w:pPr>
        <w:rPr>
          <w:rFonts w:ascii="Times New Roman" w:eastAsia="Times New Roman" w:hAnsi="Times New Roman" w:cs="Times New Roman"/>
        </w:rPr>
      </w:pPr>
    </w:p>
    <w:p w14:paraId="4B0446D1" w14:textId="77777777" w:rsidR="00A71F21" w:rsidRDefault="00A71F21">
      <w:pPr>
        <w:rPr>
          <w:rFonts w:ascii="Times New Roman" w:eastAsia="Times New Roman" w:hAnsi="Times New Roman" w:cs="Times New Roman"/>
        </w:rPr>
      </w:pPr>
    </w:p>
    <w:p w14:paraId="7E1D9F88" w14:textId="77777777" w:rsidR="00A71F21" w:rsidRDefault="00A71F21">
      <w:pPr>
        <w:rPr>
          <w:rFonts w:ascii="Times New Roman" w:eastAsia="Times New Roman" w:hAnsi="Times New Roman" w:cs="Times New Roman"/>
        </w:rPr>
      </w:pPr>
    </w:p>
    <w:p w14:paraId="517E1BEB" w14:textId="77777777" w:rsidR="00A71F21" w:rsidRDefault="00A71F21">
      <w:pPr>
        <w:rPr>
          <w:rFonts w:ascii="Times New Roman" w:eastAsia="Times New Roman" w:hAnsi="Times New Roman" w:cs="Times New Roman"/>
        </w:rPr>
      </w:pPr>
    </w:p>
    <w:p w14:paraId="6E01D56B" w14:textId="77777777" w:rsidR="00A71F21" w:rsidRDefault="00A71F21">
      <w:pPr>
        <w:rPr>
          <w:rFonts w:ascii="Times New Roman" w:eastAsia="Times New Roman" w:hAnsi="Times New Roman" w:cs="Times New Roman"/>
        </w:rPr>
      </w:pPr>
    </w:p>
    <w:p w14:paraId="57655BE9" w14:textId="77777777" w:rsidR="00A71F21" w:rsidRDefault="00A71F21">
      <w:pPr>
        <w:rPr>
          <w:rFonts w:ascii="Times New Roman" w:eastAsia="Times New Roman" w:hAnsi="Times New Roman" w:cs="Times New Roman"/>
        </w:rPr>
      </w:pPr>
    </w:p>
    <w:p w14:paraId="6683E52A" w14:textId="77777777" w:rsidR="00A71F21" w:rsidRDefault="00A71F21">
      <w:pPr>
        <w:rPr>
          <w:rFonts w:ascii="Times New Roman" w:eastAsia="Times New Roman" w:hAnsi="Times New Roman" w:cs="Times New Roman"/>
        </w:rPr>
      </w:pPr>
    </w:p>
    <w:p w14:paraId="6CFB6F32" w14:textId="261E7847" w:rsidR="00A71F21" w:rsidRDefault="00A71F21">
      <w:pPr>
        <w:rPr>
          <w:rFonts w:ascii="Times New Roman" w:eastAsia="Times New Roman" w:hAnsi="Times New Roman" w:cs="Times New Roman"/>
        </w:rPr>
      </w:pPr>
    </w:p>
    <w:p w14:paraId="79F90FEF" w14:textId="62E5435A" w:rsidR="00C44FBA" w:rsidRDefault="00C44FBA">
      <w:pPr>
        <w:rPr>
          <w:rFonts w:ascii="Times New Roman" w:eastAsia="Times New Roman" w:hAnsi="Times New Roman" w:cs="Times New Roman"/>
        </w:rPr>
      </w:pPr>
    </w:p>
    <w:p w14:paraId="1055B388" w14:textId="77777777" w:rsidR="00C44FBA" w:rsidRDefault="00C44FBA">
      <w:pPr>
        <w:rPr>
          <w:rFonts w:ascii="Times New Roman" w:eastAsia="Times New Roman" w:hAnsi="Times New Roman" w:cs="Times New Roman"/>
        </w:rPr>
      </w:pPr>
    </w:p>
    <w:p w14:paraId="04E5C36F" w14:textId="77777777" w:rsidR="00A71F21" w:rsidRDefault="00A71F21">
      <w:pPr>
        <w:rPr>
          <w:rFonts w:ascii="Times New Roman" w:eastAsia="Times New Roman" w:hAnsi="Times New Roman" w:cs="Times New Roman"/>
        </w:rPr>
      </w:pPr>
    </w:p>
    <w:p w14:paraId="7D872CF2" w14:textId="77777777" w:rsidR="00A71F21" w:rsidRDefault="00A71F21">
      <w:pPr>
        <w:rPr>
          <w:rFonts w:ascii="Times New Roman" w:eastAsia="Times New Roman" w:hAnsi="Times New Roman" w:cs="Times New Roman"/>
        </w:rPr>
      </w:pPr>
    </w:p>
    <w:p w14:paraId="45D445E3" w14:textId="77777777" w:rsidR="00A71F21" w:rsidRDefault="00A71F21">
      <w:pPr>
        <w:rPr>
          <w:rFonts w:ascii="Times New Roman" w:eastAsia="Times New Roman" w:hAnsi="Times New Roman" w:cs="Times New Roman"/>
        </w:rPr>
      </w:pPr>
    </w:p>
    <w:p w14:paraId="7B89E69C" w14:textId="77777777" w:rsidR="00A71F21" w:rsidRDefault="00A71F21">
      <w:pPr>
        <w:rPr>
          <w:rFonts w:ascii="Times New Roman" w:eastAsia="Times New Roman" w:hAnsi="Times New Roman" w:cs="Times New Roman"/>
        </w:rPr>
      </w:pPr>
    </w:p>
    <w:p w14:paraId="7460E402" w14:textId="77777777" w:rsidR="00A71F21" w:rsidRDefault="00A71F21">
      <w:pPr>
        <w:rPr>
          <w:rFonts w:ascii="Times New Roman" w:eastAsia="Times New Roman" w:hAnsi="Times New Roman" w:cs="Times New Roman"/>
        </w:rPr>
      </w:pPr>
    </w:p>
    <w:p w14:paraId="44180BF3" w14:textId="77777777" w:rsidR="00A71F21" w:rsidRDefault="00A71F21">
      <w:pPr>
        <w:rPr>
          <w:rFonts w:ascii="Times New Roman" w:eastAsia="Times New Roman" w:hAnsi="Times New Roman" w:cs="Times New Roman"/>
        </w:rPr>
      </w:pPr>
    </w:p>
    <w:p w14:paraId="698F406B" w14:textId="77777777" w:rsidR="00A71F21" w:rsidRDefault="00A71F21">
      <w:pPr>
        <w:rPr>
          <w:rFonts w:ascii="Times New Roman" w:eastAsia="Times New Roman" w:hAnsi="Times New Roman" w:cs="Times New Roman"/>
        </w:rPr>
      </w:pPr>
    </w:p>
    <w:p w14:paraId="37A72C3A" w14:textId="41907019" w:rsidR="00A71F21" w:rsidRDefault="00A71F21">
      <w:pPr>
        <w:rPr>
          <w:rFonts w:ascii="Times New Roman" w:eastAsia="Times New Roman" w:hAnsi="Times New Roman" w:cs="Times New Roman"/>
        </w:rPr>
      </w:pPr>
    </w:p>
    <w:p w14:paraId="5D293789" w14:textId="1144756A" w:rsidR="001F0580" w:rsidRDefault="001F0580">
      <w:pPr>
        <w:rPr>
          <w:rFonts w:ascii="Times New Roman" w:eastAsia="Times New Roman" w:hAnsi="Times New Roman" w:cs="Times New Roman"/>
        </w:rPr>
      </w:pPr>
    </w:p>
    <w:p w14:paraId="0A59138A" w14:textId="164F592C" w:rsidR="001F0580" w:rsidRDefault="001F0580">
      <w:pPr>
        <w:rPr>
          <w:rFonts w:ascii="Times New Roman" w:eastAsia="Times New Roman" w:hAnsi="Times New Roman" w:cs="Times New Roman"/>
        </w:rPr>
      </w:pPr>
    </w:p>
    <w:p w14:paraId="7D1C9DC2" w14:textId="4DDD2532" w:rsidR="001F0580" w:rsidRDefault="001F0580">
      <w:pPr>
        <w:rPr>
          <w:rFonts w:ascii="Times New Roman" w:eastAsia="Times New Roman" w:hAnsi="Times New Roman" w:cs="Times New Roman"/>
        </w:rPr>
      </w:pPr>
    </w:p>
    <w:p w14:paraId="37E8C39C" w14:textId="77777777" w:rsidR="001F0580" w:rsidRDefault="001F0580">
      <w:pPr>
        <w:rPr>
          <w:rFonts w:ascii="Times New Roman" w:eastAsia="Times New Roman" w:hAnsi="Times New Roman" w:cs="Times New Roman"/>
        </w:rPr>
      </w:pPr>
    </w:p>
    <w:p w14:paraId="2358815E" w14:textId="77777777" w:rsidR="00A71F21" w:rsidRDefault="00A71F21">
      <w:pPr>
        <w:rPr>
          <w:rFonts w:ascii="Times New Roman" w:eastAsia="Times New Roman" w:hAnsi="Times New Roman" w:cs="Times New Roman"/>
        </w:rPr>
      </w:pPr>
    </w:p>
    <w:p w14:paraId="1567B3E4" w14:textId="77777777" w:rsidR="00A71F21" w:rsidRDefault="00D84E6F">
      <w:pPr>
        <w:rPr>
          <w:rFonts w:ascii="Times New Roman" w:eastAsia="Times New Roman" w:hAnsi="Times New Roman" w:cs="Times New Roman"/>
        </w:rPr>
      </w:pPr>
      <w:r>
        <w:rPr>
          <w:rFonts w:ascii="Times New Roman" w:eastAsia="Times New Roman" w:hAnsi="Times New Roman" w:cs="Times New Roman"/>
        </w:rPr>
        <w:lastRenderedPageBreak/>
        <w:t xml:space="preserve">The Mental Health Consequences Before and After George Floyd’s Murder in Minneapolis in Black,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and White Communities</w:t>
      </w:r>
    </w:p>
    <w:p w14:paraId="466CE2E8" w14:textId="77777777" w:rsidR="00A71F21" w:rsidRDefault="00A71F21">
      <w:pPr>
        <w:rPr>
          <w:rFonts w:ascii="Times New Roman" w:eastAsia="Times New Roman" w:hAnsi="Times New Roman" w:cs="Times New Roman"/>
        </w:rPr>
      </w:pPr>
    </w:p>
    <w:p w14:paraId="5A49B725"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Introduction</w:t>
      </w:r>
    </w:p>
    <w:p w14:paraId="5903F09D" w14:textId="77777777" w:rsidR="00A71F21" w:rsidRDefault="00A71F21">
      <w:pPr>
        <w:rPr>
          <w:rFonts w:ascii="Times New Roman" w:eastAsia="Times New Roman" w:hAnsi="Times New Roman" w:cs="Times New Roman"/>
        </w:rPr>
      </w:pPr>
    </w:p>
    <w:p w14:paraId="07329FA4"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Racialized police violence has been  pervasive throughout United States history. As James Baldwin noted, “History is not something you read about in a book; history is not even the past, it’s the present, because everybody operates, whether or not we know it, out of assumptions which are produced only, and only by our history.”</w:t>
      </w:r>
      <w:hyperlink r:id="rId6">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America’s  history of slave patrols is reflected in the police violence against Black people today.</w:t>
      </w:r>
      <w:hyperlink r:id="rId7">
        <w:r>
          <w:rPr>
            <w:rFonts w:ascii="Times New Roman" w:eastAsia="Times New Roman" w:hAnsi="Times New Roman" w:cs="Times New Roman"/>
            <w:vertAlign w:val="superscript"/>
          </w:rPr>
          <w:t>2</w:t>
        </w:r>
      </w:hyperlink>
      <w:r>
        <w:rPr>
          <w:rFonts w:ascii="Times New Roman" w:eastAsia="Times New Roman" w:hAnsi="Times New Roman" w:cs="Times New Roman"/>
        </w:rPr>
        <w:t xml:space="preserve"> Black people are 5 times more likely than white people to sustain an injury during a police encounter that requires emergency room care</w:t>
      </w:r>
      <w:hyperlink r:id="rId8">
        <w:r>
          <w:rPr>
            <w:rFonts w:ascii="Times New Roman" w:eastAsia="Times New Roman" w:hAnsi="Times New Roman" w:cs="Times New Roman"/>
            <w:vertAlign w:val="superscript"/>
          </w:rPr>
          <w:t>3</w:t>
        </w:r>
      </w:hyperlink>
      <w:r>
        <w:rPr>
          <w:rFonts w:ascii="Times New Roman" w:eastAsia="Times New Roman" w:hAnsi="Times New Roman" w:cs="Times New Roman"/>
        </w:rPr>
        <w:t>, and are disproportionately subject to police uses of force</w:t>
      </w:r>
      <w:hyperlink r:id="rId9">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and face substantially higher lifetime risks of being killed by police.</w:t>
      </w:r>
      <w:hyperlink r:id="rId10">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A large proportion of police violence is targeted against Black people, however, individuals with other marginalized identities (ex. other racial/ethnic groups, sex workers, or transgender people) are impacted disproportionally as well. People of color make-up approximately 40% of the US population but account for more than half of the years of life lost due to police violence. </w:t>
      </w:r>
      <w:hyperlink r:id="rId11">
        <w:r>
          <w:rPr>
            <w:rFonts w:ascii="Times New Roman" w:eastAsia="Times New Roman" w:hAnsi="Times New Roman" w:cs="Times New Roman"/>
            <w:vertAlign w:val="superscript"/>
          </w:rPr>
          <w:t>6(pp2015–2016),7</w:t>
        </w:r>
      </w:hyperlink>
    </w:p>
    <w:p w14:paraId="3C22F992" w14:textId="77777777" w:rsidR="00A71F21" w:rsidRDefault="00A71F21">
      <w:pPr>
        <w:spacing w:line="480" w:lineRule="auto"/>
        <w:rPr>
          <w:rFonts w:ascii="Times New Roman" w:eastAsia="Times New Roman" w:hAnsi="Times New Roman" w:cs="Times New Roman"/>
          <w:shd w:val="clear" w:color="auto" w:fill="D5A6BD"/>
        </w:rPr>
      </w:pPr>
    </w:p>
    <w:p w14:paraId="24CD2936"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Police violence is deleterious to individual mental health. Direct exposure to police violence increases individuals’ reports of general anxiety, depression, trauma symptoms, suicide attempts, and anticipation of future police violence victimization.</w:t>
      </w:r>
      <w:hyperlink r:id="rId12">
        <w:r>
          <w:rPr>
            <w:rFonts w:ascii="Times New Roman" w:eastAsia="Times New Roman" w:hAnsi="Times New Roman" w:cs="Times New Roman"/>
            <w:vertAlign w:val="superscript"/>
          </w:rPr>
          <w:t>8–10</w:t>
        </w:r>
      </w:hyperlink>
      <w:r>
        <w:rPr>
          <w:rFonts w:ascii="Times New Roman" w:eastAsia="Times New Roman" w:hAnsi="Times New Roman" w:cs="Times New Roman"/>
        </w:rPr>
        <w:t xml:space="preserve"> However, the health effects of police violence extend beyond individual injury to influence population health outcomes.  Vicarious exposure to police violence, such as witnessing or hearing about a police violence event  is associated with </w:t>
      </w:r>
      <w:r>
        <w:rPr>
          <w:rFonts w:ascii="Times New Roman" w:eastAsia="Times New Roman" w:hAnsi="Times New Roman" w:cs="Times New Roman"/>
          <w:highlight w:val="white"/>
        </w:rPr>
        <w:t>increased</w:t>
      </w:r>
      <w:r>
        <w:rPr>
          <w:rFonts w:ascii="Times New Roman" w:eastAsia="Times New Roman" w:hAnsi="Times New Roman" w:cs="Times New Roman"/>
        </w:rPr>
        <w:t xml:space="preserve"> anxiety, depression, trauma symptoms, and suicide attempts. For instance, one study of  a population representative sample of Black people found that an exposure to a police killing of an unarmed Black person was associated with .14 additional poor mental health days per month.</w:t>
      </w:r>
      <w:hyperlink r:id="rId13">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However, there were no mental health impacts among white individuals.</w:t>
      </w:r>
      <w:hyperlink r:id="rId14">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The full physical and mental trauma caused by police is unknown due to poorly documented or comprehensively collected data.</w:t>
      </w:r>
      <w:hyperlink r:id="rId15">
        <w:r>
          <w:rPr>
            <w:rFonts w:ascii="Times New Roman" w:eastAsia="Times New Roman" w:hAnsi="Times New Roman" w:cs="Times New Roman"/>
            <w:vertAlign w:val="superscript"/>
          </w:rPr>
          <w:t>6(pp2015–2016)</w:t>
        </w:r>
      </w:hyperlink>
      <w:r>
        <w:rPr>
          <w:rFonts w:ascii="Times New Roman" w:eastAsia="Times New Roman" w:hAnsi="Times New Roman" w:cs="Times New Roman"/>
        </w:rPr>
        <w:t xml:space="preserve"> Further the lack of fine-grained spatial and temporal data limits the ability for more sensitive analyses expanding beyond the current body of </w:t>
      </w:r>
      <w:r>
        <w:rPr>
          <w:rFonts w:ascii="Times New Roman" w:eastAsia="Times New Roman" w:hAnsi="Times New Roman" w:cs="Times New Roman"/>
        </w:rPr>
        <w:lastRenderedPageBreak/>
        <w:t>literature which is made up of predominantly descriptive or cross-sectional studies conducted at the state-level and above.</w:t>
      </w:r>
    </w:p>
    <w:p w14:paraId="6DB2C7EB" w14:textId="77777777" w:rsidR="00A71F21" w:rsidRDefault="00A71F21">
      <w:pPr>
        <w:spacing w:line="480" w:lineRule="auto"/>
        <w:rPr>
          <w:rFonts w:ascii="Times New Roman" w:eastAsia="Times New Roman" w:hAnsi="Times New Roman" w:cs="Times New Roman"/>
        </w:rPr>
      </w:pPr>
    </w:p>
    <w:p w14:paraId="7EAC7143"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The murder of Mr. George Floyd brought mainstream visibility to the health burden of police violence predominantly borne by racialized marginalized communities.</w:t>
      </w:r>
      <w:hyperlink r:id="rId16">
        <w:r>
          <w:rPr>
            <w:rFonts w:ascii="Times New Roman" w:eastAsia="Times New Roman" w:hAnsi="Times New Roman" w:cs="Times New Roman"/>
            <w:vertAlign w:val="superscript"/>
          </w:rPr>
          <w:t>12</w:t>
        </w:r>
      </w:hyperlink>
      <w:r>
        <w:rPr>
          <w:rFonts w:ascii="Times New Roman" w:eastAsia="Times New Roman" w:hAnsi="Times New Roman" w:cs="Times New Roman"/>
        </w:rPr>
        <w:t xml:space="preserve"> An approximately ten minute long video by Ms. Darnella Frazier of this murder was posted on Facebook and watched by millions of people. The video and story were subsequently replayed on news outlets and across social media platforms, potentially further traumatizing marginalized communities. Research shows in the week following the murder of Mr. Floyd, there was an unprecedented nationwide increase -- above existing COVID-19 pandemic highs -- in reports of anger and sadness.</w:t>
      </w:r>
      <w:hyperlink r:id="rId17">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Reports of anxiety and depression also increased during this time, especially among Black Americans. Geographic proximity also shapes responses to police violence. Minnesota reported the largest decline in mental health compared to other states, and Black people living in Minnesota likely experienced the most substantial mental health effects after Mr. Floyd’s murder.</w:t>
      </w:r>
      <w:hyperlink r:id="rId18">
        <w:r>
          <w:rPr>
            <w:rFonts w:ascii="Times New Roman" w:eastAsia="Times New Roman" w:hAnsi="Times New Roman" w:cs="Times New Roman"/>
            <w:vertAlign w:val="superscript"/>
          </w:rPr>
          <w:t>13</w:t>
        </w:r>
      </w:hyperlink>
      <w:r>
        <w:rPr>
          <w:rFonts w:ascii="Times New Roman" w:eastAsia="Times New Roman" w:hAnsi="Times New Roman" w:cs="Times New Roman"/>
        </w:rPr>
        <w:t xml:space="preserve"> This reaction to a highly visible example of police violence is consistent with findings from a recent nationally-representative study that found most Black people live in fear of the police killing them or their family members.</w:t>
      </w:r>
      <w:hyperlink r:id="rId19">
        <w:r>
          <w:rPr>
            <w:rFonts w:ascii="Times New Roman" w:eastAsia="Times New Roman" w:hAnsi="Times New Roman" w:cs="Times New Roman"/>
            <w:vertAlign w:val="superscript"/>
          </w:rPr>
          <w:t>14</w:t>
        </w:r>
      </w:hyperlink>
      <w:r>
        <w:rPr>
          <w:rFonts w:ascii="Times New Roman" w:eastAsia="Times New Roman" w:hAnsi="Times New Roman" w:cs="Times New Roman"/>
        </w:rPr>
        <w:t xml:space="preserve"> However, most of the research conducted to date has been based on cross-sectional studies, </w:t>
      </w:r>
      <w:proofErr w:type="spellStart"/>
      <w:r>
        <w:rPr>
          <w:rFonts w:ascii="Times New Roman" w:eastAsia="Times New Roman" w:hAnsi="Times New Roman" w:cs="Times New Roman"/>
        </w:rPr>
        <w:t>self reported</w:t>
      </w:r>
      <w:proofErr w:type="spellEnd"/>
      <w:r>
        <w:rPr>
          <w:rFonts w:ascii="Times New Roman" w:eastAsia="Times New Roman" w:hAnsi="Times New Roman" w:cs="Times New Roman"/>
        </w:rPr>
        <w:t xml:space="preserve"> measures, and limited consideration of geography.</w:t>
      </w:r>
      <w:hyperlink r:id="rId20">
        <w:r>
          <w:rPr>
            <w:rFonts w:ascii="Times New Roman" w:eastAsia="Times New Roman" w:hAnsi="Times New Roman" w:cs="Times New Roman"/>
            <w:vertAlign w:val="superscript"/>
          </w:rPr>
          <w:t>15,16</w:t>
        </w:r>
      </w:hyperlink>
      <w:r>
        <w:rPr>
          <w:rFonts w:ascii="Times New Roman" w:eastAsia="Times New Roman" w:hAnsi="Times New Roman" w:cs="Times New Roman"/>
        </w:rPr>
        <w:t xml:space="preserve"> </w:t>
      </w:r>
    </w:p>
    <w:p w14:paraId="388210F3" w14:textId="77777777" w:rsidR="00A71F21" w:rsidRDefault="00A71F21">
      <w:pPr>
        <w:rPr>
          <w:rFonts w:ascii="Times New Roman" w:eastAsia="Times New Roman" w:hAnsi="Times New Roman" w:cs="Times New Roman"/>
        </w:rPr>
      </w:pPr>
    </w:p>
    <w:p w14:paraId="70D10C9F"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order to fill these gaps, our study seeks to evaluate the rate of mental health (anxiety, depression, and chemical health) diagnoses over time and space after the murder of Mr. Floyd on May 25th, 2020 in  communities in Minneapolis, Minnesota. We contribute to the existing literature by a) utilizing five years of time series and panel data to examine changes in response to the police murder, b) using an alternative measure of mental health diagnosis as opposed to </w:t>
      </w:r>
      <w:proofErr w:type="spellStart"/>
      <w:r>
        <w:rPr>
          <w:rFonts w:ascii="Times New Roman" w:eastAsia="Times New Roman" w:hAnsi="Times New Roman" w:cs="Times New Roman"/>
        </w:rPr>
        <w:t>self reports</w:t>
      </w:r>
      <w:proofErr w:type="spellEnd"/>
      <w:r>
        <w:rPr>
          <w:rFonts w:ascii="Times New Roman" w:eastAsia="Times New Roman" w:hAnsi="Times New Roman" w:cs="Times New Roman"/>
        </w:rPr>
        <w:t xml:space="preserve">, and c) examine the hyperlocal effects, and spatial heterogeneity therein, of the murder across Minneapolis, MN. </w:t>
      </w:r>
    </w:p>
    <w:p w14:paraId="1EDE2181" w14:textId="77777777" w:rsidR="00A71F21" w:rsidRDefault="00A71F21">
      <w:pPr>
        <w:rPr>
          <w:rFonts w:ascii="Times New Roman" w:eastAsia="Times New Roman" w:hAnsi="Times New Roman" w:cs="Times New Roman"/>
          <w:b/>
        </w:rPr>
      </w:pPr>
    </w:p>
    <w:p w14:paraId="4AB82183"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Methods</w:t>
      </w:r>
    </w:p>
    <w:p w14:paraId="14EA7BA7" w14:textId="77777777" w:rsidR="00A71F21" w:rsidRDefault="00A71F21">
      <w:pPr>
        <w:rPr>
          <w:rFonts w:ascii="Times New Roman" w:eastAsia="Times New Roman" w:hAnsi="Times New Roman" w:cs="Times New Roman"/>
          <w:b/>
        </w:rPr>
      </w:pPr>
    </w:p>
    <w:p w14:paraId="02968013"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lastRenderedPageBreak/>
        <w:t>Data</w:t>
      </w:r>
    </w:p>
    <w:p w14:paraId="62BC1A8A" w14:textId="77777777" w:rsidR="00A71F21" w:rsidRDefault="00A71F21">
      <w:pPr>
        <w:rPr>
          <w:rFonts w:ascii="Times New Roman" w:eastAsia="Times New Roman" w:hAnsi="Times New Roman" w:cs="Times New Roman"/>
          <w:b/>
          <w:i/>
        </w:rPr>
      </w:pPr>
    </w:p>
    <w:p w14:paraId="6552FE78" w14:textId="77777777" w:rsidR="00A71F21" w:rsidRDefault="00A71F21">
      <w:pPr>
        <w:rPr>
          <w:rFonts w:ascii="Times New Roman" w:eastAsia="Times New Roman" w:hAnsi="Times New Roman" w:cs="Times New Roman"/>
          <w:b/>
          <w:i/>
        </w:rPr>
      </w:pPr>
    </w:p>
    <w:p w14:paraId="3BF9265F"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We leverage Minnesota Hospital Discharge data from the Minnesota Hospital Administration (MHA) to create our dependent variable, mental health hospital diagnoses per 1,000 residents. All Minnesota hospitals submit inpatient, outpatient, and emergency department claims data to the MHA. The MHA collects these data into a statewide administrative claims database. This database includes a data point for each patient encounter with a health care provider, the diagnosis/es during that encounter specified with International Classification of Diseases (ICD) codes, as well as basic demographic information, such as age, gender, and race. Hospital discharge data has the advantage of being population representative. Data from 2016-2020 utilizing ICD-10 were used to define mental health diagnoses.</w:t>
      </w:r>
      <w:hyperlink r:id="rId21">
        <w:r>
          <w:rPr>
            <w:rFonts w:ascii="Times New Roman" w:eastAsia="Times New Roman" w:hAnsi="Times New Roman" w:cs="Times New Roman"/>
            <w:vertAlign w:val="superscript"/>
          </w:rPr>
          <w:t>17</w:t>
        </w:r>
      </w:hyperlink>
      <w:r>
        <w:rPr>
          <w:rFonts w:ascii="Times New Roman" w:eastAsia="Times New Roman" w:hAnsi="Times New Roman" w:cs="Times New Roman"/>
        </w:rPr>
        <w:t xml:space="preserve"> We also calculate race-specific measures of mental health diagnoses incidence per 1,000 residents. In our interrupted time-series design (discussed below), the key time indicators are a baseline weekly linear trend (</w:t>
      </w:r>
      <w:r>
        <w:rPr>
          <w:rFonts w:ascii="Times New Roman" w:eastAsia="Times New Roman" w:hAnsi="Times New Roman" w:cs="Times New Roman"/>
          <w:i/>
        </w:rPr>
        <w:t>T</w:t>
      </w:r>
      <w:r>
        <w:rPr>
          <w:rFonts w:ascii="Times New Roman" w:eastAsia="Times New Roman" w:hAnsi="Times New Roman" w:cs="Times New Roman"/>
        </w:rPr>
        <w:t>), an exposure indicator of the police murder of George Floyd on 5/25/2020 (</w:t>
      </w:r>
      <w:r>
        <w:rPr>
          <w:rFonts w:ascii="Times New Roman" w:eastAsia="Times New Roman" w:hAnsi="Times New Roman" w:cs="Times New Roman"/>
          <w:i/>
        </w:rPr>
        <w:t>Post-Killing</w:t>
      </w:r>
      <w:r>
        <w:rPr>
          <w:rFonts w:ascii="Times New Roman" w:eastAsia="Times New Roman" w:hAnsi="Times New Roman" w:cs="Times New Roman"/>
        </w:rPr>
        <w:t>), and a linear time trend post-killing (</w:t>
      </w:r>
      <w:r>
        <w:rPr>
          <w:rFonts w:ascii="Times New Roman" w:eastAsia="Times New Roman" w:hAnsi="Times New Roman" w:cs="Times New Roman"/>
          <w:i/>
        </w:rPr>
        <w:t>T Post-Killing</w:t>
      </w:r>
      <w:r>
        <w:rPr>
          <w:rFonts w:ascii="Times New Roman" w:eastAsia="Times New Roman" w:hAnsi="Times New Roman" w:cs="Times New Roman"/>
        </w:rPr>
        <w:t xml:space="preserve">). The weekly time trend captures the overall linear trend in mental health discharges across 2016-2020,  the binary exposure variable indicates the discontinuous change in the week of the police murder of George Floyd, and the post-killing term describes the linear trend in mental health discharges after the murder. </w:t>
      </w:r>
    </w:p>
    <w:p w14:paraId="6041F01D" w14:textId="77777777" w:rsidR="00A71F21" w:rsidRDefault="00A71F21">
      <w:pPr>
        <w:spacing w:line="480" w:lineRule="auto"/>
        <w:rPr>
          <w:rFonts w:ascii="Times New Roman" w:eastAsia="Times New Roman" w:hAnsi="Times New Roman" w:cs="Times New Roman"/>
        </w:rPr>
      </w:pPr>
    </w:p>
    <w:p w14:paraId="5CA56E10" w14:textId="21D801E2"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our focal time measures, we further improve our identification of the post-killing effect in our interrupted time series design by controlling for </w:t>
      </w:r>
      <w:r>
        <w:rPr>
          <w:rFonts w:ascii="Times New Roman" w:eastAsia="Times New Roman" w:hAnsi="Times New Roman" w:cs="Times New Roman"/>
          <w:i/>
        </w:rPr>
        <w:t>time-varying</w:t>
      </w:r>
      <w:r>
        <w:rPr>
          <w:rFonts w:ascii="Times New Roman" w:eastAsia="Times New Roman" w:hAnsi="Times New Roman" w:cs="Times New Roman"/>
        </w:rPr>
        <w:t xml:space="preserve"> changes in COVID-19-related policy, police behavior and seasonality. We create two event indicators related to the COVID-19 pandemic: 3/13/2020 at the inception of Governor Walz’s State of Emergency order, and from 3/28-2020-5/28/2020 at the introduction and conclusion of Minnesota’s Stay-at-Home order. These time indicators adjust for changes in mental health discharges related to significant policy events in the course of the COVID-19 pandemic and related patterns of social interaction and movement. We also incorporate measures of police behavior from the Minneapolis Police Department’s open access data. Specifically, we aggregate </w:t>
      </w:r>
      <w:r>
        <w:rPr>
          <w:rFonts w:ascii="Times New Roman" w:eastAsia="Times New Roman" w:hAnsi="Times New Roman" w:cs="Times New Roman"/>
        </w:rPr>
        <w:lastRenderedPageBreak/>
        <w:t xml:space="preserve">and spatially locate reported use of force incidents, police stops, and officer-involved shootings to both the week and ZCTA-week level from 2016-2020, placing each incident in each ZCTA-week by the date of incident and the spatial intersection of each ZCTA and the longitude and latitude coordinates of the location of the recorded police event. </w:t>
      </w:r>
      <w:r w:rsidR="003470B0" w:rsidRPr="003470B0">
        <w:rPr>
          <w:rFonts w:ascii="Times New Roman" w:eastAsia="Times New Roman" w:hAnsi="Times New Roman" w:cs="Times New Roman"/>
        </w:rPr>
        <w:t xml:space="preserve">We then express these measures as rates per 1,000 residents. </w:t>
      </w:r>
      <w:r>
        <w:rPr>
          <w:rFonts w:ascii="Times New Roman" w:eastAsia="Times New Roman" w:hAnsi="Times New Roman" w:cs="Times New Roman"/>
        </w:rPr>
        <w:t xml:space="preserve">Further, we lag each measure of police behavior by one week to account for the potential simultaneity between police behavior and mental health incidence. These measures serve as our indicators of policing activity in Minneapolis, and will adjust our event coefficients for any concurrent changes in police stops, uses of force, or shootings. In other words, these measures allow us to further isolate the effect of the focal police killing, </w:t>
      </w:r>
      <w:r>
        <w:rPr>
          <w:rFonts w:ascii="Times New Roman" w:eastAsia="Times New Roman" w:hAnsi="Times New Roman" w:cs="Times New Roman"/>
          <w:i/>
        </w:rPr>
        <w:t>above and beyond</w:t>
      </w:r>
      <w:r>
        <w:rPr>
          <w:rFonts w:ascii="Times New Roman" w:eastAsia="Times New Roman" w:hAnsi="Times New Roman" w:cs="Times New Roman"/>
        </w:rPr>
        <w:t xml:space="preserve"> changes in routine police behavior.</w:t>
      </w:r>
    </w:p>
    <w:p w14:paraId="517C3A5F" w14:textId="77777777" w:rsidR="00A71F21" w:rsidRDefault="00A71F21">
      <w:pPr>
        <w:spacing w:line="480" w:lineRule="auto"/>
        <w:rPr>
          <w:rFonts w:ascii="Times New Roman" w:eastAsia="Times New Roman" w:hAnsi="Times New Roman" w:cs="Times New Roman"/>
        </w:rPr>
      </w:pPr>
    </w:p>
    <w:p w14:paraId="25D83132"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Previous research shows that mental health discharges exhibit a seasonal pattern (e.g., </w:t>
      </w:r>
      <w:proofErr w:type="spellStart"/>
      <w:r>
        <w:rPr>
          <w:rFonts w:ascii="Times New Roman" w:eastAsia="Times New Roman" w:hAnsi="Times New Roman" w:cs="Times New Roman"/>
        </w:rPr>
        <w:t>Heboyan</w:t>
      </w:r>
      <w:proofErr w:type="spellEnd"/>
      <w:r>
        <w:rPr>
          <w:rFonts w:ascii="Times New Roman" w:eastAsia="Times New Roman" w:hAnsi="Times New Roman" w:cs="Times New Roman"/>
        </w:rPr>
        <w:t xml:space="preserve"> et al. 2019), and we merge measures of seasonality onto the weekly hospital data. To capture weekly changes in seasonality, we include the weekly maximum temperature (degrees Fahrenheit), snowfall (in.), and precipitation (in.) from the Minnesota Department of Natural Resources as measured at the Minneapolis/St. Paul Threaded Record station. </w:t>
      </w:r>
    </w:p>
    <w:p w14:paraId="71E4071B" w14:textId="77777777" w:rsidR="00A71F21" w:rsidRDefault="00A71F21">
      <w:pPr>
        <w:spacing w:line="480" w:lineRule="auto"/>
        <w:rPr>
          <w:rFonts w:ascii="Times New Roman" w:eastAsia="Times New Roman" w:hAnsi="Times New Roman" w:cs="Times New Roman"/>
        </w:rPr>
      </w:pPr>
    </w:p>
    <w:p w14:paraId="53F17CA3"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Spatial Zip Code Tabulation Area (ZCTA) simple feature boundary attributes, and each geography’s corresponding yearly American Community Survey (ACS) data, were accessed from The Census Bureau’s API using the ‘</w:t>
      </w:r>
      <w:proofErr w:type="spellStart"/>
      <w:r>
        <w:rPr>
          <w:rFonts w:ascii="Times New Roman" w:eastAsia="Times New Roman" w:hAnsi="Times New Roman" w:cs="Times New Roman"/>
        </w:rPr>
        <w:t>tidycensus</w:t>
      </w:r>
      <w:proofErr w:type="spellEnd"/>
      <w:r>
        <w:rPr>
          <w:rFonts w:ascii="Times New Roman" w:eastAsia="Times New Roman" w:hAnsi="Times New Roman" w:cs="Times New Roman"/>
        </w:rPr>
        <w:t>’ package in R.</w:t>
      </w:r>
      <w:hyperlink r:id="rId22">
        <w:r>
          <w:rPr>
            <w:rFonts w:ascii="Times New Roman" w:eastAsia="Times New Roman" w:hAnsi="Times New Roman" w:cs="Times New Roman"/>
            <w:vertAlign w:val="superscript"/>
          </w:rPr>
          <w:t>18</w:t>
        </w:r>
      </w:hyperlink>
      <w:r>
        <w:rPr>
          <w:rFonts w:ascii="Times New Roman" w:eastAsia="Times New Roman" w:hAnsi="Times New Roman" w:cs="Times New Roman"/>
        </w:rPr>
        <w:t xml:space="preserve"> ZCTAs representing Minneapolis were determined by spatial intersection with the Minneapolis city boundary. Additionally, intersecting neighbors were defined as &gt;= 5 percent spatial overlap to identify ZCTAs that contain enough spatial overlap to have records in the Minneapolis Police Department data. Similar to previous research on neighborhood effects,</w:t>
      </w:r>
      <w:hyperlink r:id="rId23">
        <w:r>
          <w:rPr>
            <w:rFonts w:ascii="Times New Roman" w:eastAsia="Times New Roman" w:hAnsi="Times New Roman" w:cs="Times New Roman"/>
            <w:vertAlign w:val="superscript"/>
          </w:rPr>
          <w:t>19,20</w:t>
        </w:r>
      </w:hyperlink>
      <w:r>
        <w:rPr>
          <w:rFonts w:ascii="Times New Roman" w:eastAsia="Times New Roman" w:hAnsi="Times New Roman" w:cs="Times New Roman"/>
        </w:rPr>
        <w:t xml:space="preserve"> we create a construct of concentrated disadvantage using time-varying indicators from the ACS 5-year estimates using five indicators: the unemployment rate, percent below the poverty line, the percent of female headed-households, the percentage of the population with no high school diploma, and the population of Black residents. We construct this measure using a confirmatory factor analysis to </w:t>
      </w:r>
      <w:r>
        <w:rPr>
          <w:rFonts w:ascii="Times New Roman" w:eastAsia="Times New Roman" w:hAnsi="Times New Roman" w:cs="Times New Roman"/>
        </w:rPr>
        <w:lastRenderedPageBreak/>
        <w:t xml:space="preserve">explicitly account for measurement error in this construct (see </w:t>
      </w:r>
      <w:r>
        <w:rPr>
          <w:rFonts w:ascii="Times New Roman" w:eastAsia="Times New Roman" w:hAnsi="Times New Roman" w:cs="Times New Roman"/>
          <w:i/>
        </w:rPr>
        <w:t>Appendix</w:t>
      </w:r>
      <w:r>
        <w:rPr>
          <w:rFonts w:ascii="Times New Roman" w:eastAsia="Times New Roman" w:hAnsi="Times New Roman" w:cs="Times New Roman"/>
        </w:rPr>
        <w:t xml:space="preserve"> for model specification). This measure serves as our proxy for structural racism and disadvantage in our tests of spatial heterogeneity below.</w:t>
      </w:r>
    </w:p>
    <w:p w14:paraId="72474D5B" w14:textId="77777777" w:rsidR="00A71F21" w:rsidRDefault="00A71F21">
      <w:pPr>
        <w:spacing w:line="480" w:lineRule="auto"/>
        <w:rPr>
          <w:rFonts w:ascii="Times New Roman" w:eastAsia="Times New Roman" w:hAnsi="Times New Roman" w:cs="Times New Roman"/>
        </w:rPr>
      </w:pPr>
    </w:p>
    <w:p w14:paraId="346F9B96" w14:textId="77777777" w:rsidR="00A71F21" w:rsidRDefault="00D84E6F">
      <w:pPr>
        <w:spacing w:line="480" w:lineRule="auto"/>
        <w:rPr>
          <w:rFonts w:ascii="Times New Roman" w:eastAsia="Times New Roman" w:hAnsi="Times New Roman" w:cs="Times New Roman"/>
          <w:b/>
          <w:i/>
        </w:rPr>
      </w:pPr>
      <w:r>
        <w:rPr>
          <w:rFonts w:ascii="Times New Roman" w:eastAsia="Times New Roman" w:hAnsi="Times New Roman" w:cs="Times New Roman"/>
          <w:b/>
          <w:i/>
        </w:rPr>
        <w:t>Statistical Method</w:t>
      </w:r>
    </w:p>
    <w:p w14:paraId="38B0A954"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first construct time-series plots of mental health diagnoses incidence over the period from 2016-2020. Figure 1 displays the overall time trend in mental health diagnoses per 1,000 across Minneapolis, and Figure 2 displays the time series by racial subgroup. We then estimate autoregressive interrupted time-series models on week-level data in Minneapolis. Interrupted time series designs compare the levels of outcomes after a treatment or intervention to the mean outcome level in the pre-intervention period. The pre-treatment trend is assumed to serve as the counterfactual should treatment not have occurred (i.e. the trend in mental health discharges in the counterfactual scenario where the police killing of Mr. Floyd did not occur). The design exclusively uses </w:t>
      </w:r>
      <w:r>
        <w:rPr>
          <w:rFonts w:ascii="Times New Roman" w:eastAsia="Times New Roman" w:hAnsi="Times New Roman" w:cs="Times New Roman"/>
          <w:i/>
        </w:rPr>
        <w:t>within-unit</w:t>
      </w:r>
      <w:r>
        <w:rPr>
          <w:rFonts w:ascii="Times New Roman" w:eastAsia="Times New Roman" w:hAnsi="Times New Roman" w:cs="Times New Roman"/>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therefore we include temporal autoregressive lags of mental health discharges in the </w:t>
      </w:r>
      <w:r>
        <w:rPr>
          <w:rFonts w:ascii="Times New Roman" w:eastAsia="Times New Roman" w:hAnsi="Times New Roman" w:cs="Times New Roman"/>
          <w:i/>
        </w:rPr>
        <w:t>t-lag</w:t>
      </w:r>
      <w:r>
        <w:rPr>
          <w:rFonts w:ascii="Times New Roman" w:eastAsia="Times New Roman" w:hAnsi="Times New Roman" w:cs="Times New Roman"/>
        </w:rPr>
        <w:t xml:space="preserve"> week to adjust for the impact of previous mental health diagnoses on contemporaneous diagnoses, effectively controlling for the possibility of the focal event timing being confounded with recent changes in mental health diagnoses.</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In sum, our causal identification assumes that the police-killing, and its consequences, are the only exposures that change at the time of the event, net of the observed time-varying covariates. Thus, we specify the following model</w:t>
      </w:r>
    </w:p>
    <w:p w14:paraId="6C5CBB34" w14:textId="77777777" w:rsidR="00A71F21" w:rsidRDefault="00D84E6F">
      <w:pPr>
        <w:spacing w:before="240" w:after="240"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39018F58" wp14:editId="0BE50667">
            <wp:extent cx="5943600" cy="241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241300"/>
                    </a:xfrm>
                    <a:prstGeom prst="rect">
                      <a:avLst/>
                    </a:prstGeom>
                    <a:ln/>
                  </pic:spPr>
                </pic:pic>
              </a:graphicData>
            </a:graphic>
          </wp:inline>
        </w:drawing>
      </w:r>
    </w:p>
    <w:p w14:paraId="3C86A2DE"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where 𝜃 represents the focal parameter of interest: the change in the time series of mental health discharge rates in response to the police killing. We specify models for Minneapolis overall as well as subgroup models for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and the results of each are presented in Table 1. </w:t>
      </w:r>
    </w:p>
    <w:p w14:paraId="1422E48F"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subsequently estimate random coefficient interrupted time series panel models for the White, Black,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racial subgroups with random ZCTA intercepts and ZCTA random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on Zip Code Tabulation Area (ZCTA)-week level data. This ITS specification using the panel data allows the intercept and focal </w:t>
      </w:r>
      <w:r>
        <w:rPr>
          <w:rFonts w:ascii="Times New Roman" w:eastAsia="Times New Roman" w:hAnsi="Times New Roman" w:cs="Times New Roman"/>
          <w:i/>
        </w:rPr>
        <w:t xml:space="preserve">Event </w:t>
      </w:r>
      <w:r>
        <w:rPr>
          <w:rFonts w:ascii="Times New Roman" w:eastAsia="Times New Roman" w:hAnsi="Times New Roman" w:cs="Times New Roman"/>
        </w:rPr>
        <w:t xml:space="preserve">coefficients to vary by ZCTA allowing us to a) estimate the effect of the police killing </w:t>
      </w:r>
      <w:r>
        <w:rPr>
          <w:rFonts w:ascii="Times New Roman" w:eastAsia="Times New Roman" w:hAnsi="Times New Roman" w:cs="Times New Roman"/>
          <w:i/>
        </w:rPr>
        <w:t>within</w:t>
      </w:r>
      <w:r>
        <w:rPr>
          <w:rFonts w:ascii="Times New Roman" w:eastAsia="Times New Roman" w:hAnsi="Times New Roman" w:cs="Times New Roman"/>
        </w:rPr>
        <w:t xml:space="preserve"> each ZCTA and account for baseline ZCTA differences in mental health (random intercept), as well as b) examine the </w:t>
      </w:r>
      <w:r>
        <w:rPr>
          <w:rFonts w:ascii="Times New Roman" w:eastAsia="Times New Roman" w:hAnsi="Times New Roman" w:cs="Times New Roman"/>
          <w:i/>
        </w:rPr>
        <w:t>spatial heterogeneity</w:t>
      </w:r>
      <w:r>
        <w:rPr>
          <w:rFonts w:ascii="Times New Roman" w:eastAsia="Times New Roman" w:hAnsi="Times New Roman" w:cs="Times New Roman"/>
        </w:rPr>
        <w:t xml:space="preserve"> in the post-killing effect (random coefficient) for each racial subgroup. The RE panel model for each subgroup is specified as follows: </w:t>
      </w:r>
    </w:p>
    <w:p w14:paraId="19A7077C"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335251" wp14:editId="07E9D069">
            <wp:extent cx="5943600" cy="787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787400"/>
                    </a:xfrm>
                    <a:prstGeom prst="rect">
                      <a:avLst/>
                    </a:prstGeom>
                    <a:ln/>
                  </pic:spPr>
                </pic:pic>
              </a:graphicData>
            </a:graphic>
          </wp:inline>
        </w:drawing>
      </w:r>
    </w:p>
    <w:p w14:paraId="37D6E91A" w14:textId="77777777" w:rsidR="00A71F21" w:rsidRDefault="00D84E6F">
      <w:pPr>
        <w:spacing w:before="240" w:after="240" w:line="480" w:lineRule="auto"/>
        <w:rPr>
          <w:rFonts w:ascii="Times New Roman" w:eastAsia="Times New Roman" w:hAnsi="Times New Roman" w:cs="Times New Roman"/>
        </w:rPr>
      </w:pPr>
      <w:proofErr w:type="gramStart"/>
      <w:r>
        <w:rPr>
          <w:rFonts w:ascii="Times New Roman" w:eastAsia="Times New Roman" w:hAnsi="Times New Roman" w:cs="Times New Roman"/>
        </w:rPr>
        <w:t>where  𝜃</w:t>
      </w:r>
      <w:proofErr w:type="gramEnd"/>
      <w:r>
        <w:rPr>
          <w:rFonts w:ascii="Times New Roman" w:eastAsia="Times New Roman" w:hAnsi="Times New Roman" w:cs="Times New Roman"/>
          <w:vertAlign w:val="subscript"/>
        </w:rPr>
        <w:t xml:space="preserve">i </w:t>
      </w:r>
      <w:r>
        <w:rPr>
          <w:rFonts w:ascii="Times New Roman" w:eastAsia="Times New Roman" w:hAnsi="Times New Roman" w:cs="Times New Roman"/>
        </w:rPr>
        <w:t>represents the estimated post-killing increase in each ZCTA respectfully. Further, we specify the random effects models to have correlated random effects, which allow that the random intercepts and slopes may be related in some manner.  These RE panel specifications include the full suite of controls for time-varying seasonality, police behavior, and COVID-19 policy, as well as three lagged AR terms to control for autocorrelation structure in the data.</w:t>
      </w:r>
    </w:p>
    <w:p w14:paraId="4AB9681B" w14:textId="77777777" w:rsidR="00A71F21" w:rsidRDefault="00D84E6F">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We also estimate a random coefficient models for each racial subgroup with a cross-level interaction between the post-killing indicator and concentrated disadvantage to examine the spatial heterogeneity in the post-killing effect across communities, and to assess the moderating influence of structural racism and disadvantage on the effect of the police killing. In other words, we explicitly test the extent to which the </w:t>
      </w:r>
      <w:r>
        <w:rPr>
          <w:rFonts w:ascii="Times New Roman" w:eastAsia="Times New Roman" w:hAnsi="Times New Roman" w:cs="Times New Roman"/>
        </w:rPr>
        <w:lastRenderedPageBreak/>
        <w:t xml:space="preserve">post-killing increase was </w:t>
      </w:r>
      <w:r>
        <w:rPr>
          <w:rFonts w:ascii="Times New Roman" w:eastAsia="Times New Roman" w:hAnsi="Times New Roman" w:cs="Times New Roman"/>
          <w:i/>
        </w:rPr>
        <w:t>different</w:t>
      </w:r>
      <w:r>
        <w:rPr>
          <w:rFonts w:ascii="Times New Roman" w:eastAsia="Times New Roman" w:hAnsi="Times New Roman" w:cs="Times New Roman"/>
        </w:rPr>
        <w:t xml:space="preserve"> in areas of higher concentrated disadvantage and to what extent concentrated disadvantage may explain any Post-Killing effect heterogeneity. Finally, we construct choropleth maps of both the estimated random coefficients from the base random coefficient models and latent concentrated disadvantage measure by ZCTA to visually contextualize the spatial heterogeneity of the post-killing effect across Minneapolis. Due to the increasing concern about null hypothesis significance testing,</w:t>
      </w:r>
      <w:hyperlink r:id="rId26">
        <w:r>
          <w:rPr>
            <w:rFonts w:ascii="Times New Roman" w:eastAsia="Times New Roman" w:hAnsi="Times New Roman" w:cs="Times New Roman"/>
            <w:vertAlign w:val="superscript"/>
          </w:rPr>
          <w:t>21</w:t>
        </w:r>
      </w:hyperlink>
      <w:r>
        <w:rPr>
          <w:rFonts w:ascii="Times New Roman" w:eastAsia="Times New Roman" w:hAnsi="Times New Roman" w:cs="Times New Roman"/>
        </w:rPr>
        <w:t xml:space="preserve"> this paper focuses on estimation of associations and the broad pattern of results as opposed to significance testing. All data and code for data manipulation, merging, and analysis, apart from the restricted MHA data, are available in an online GitHub repository.</w:t>
      </w:r>
    </w:p>
    <w:p w14:paraId="45DBAF99"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Results</w:t>
      </w:r>
    </w:p>
    <w:p w14:paraId="17EC479E" w14:textId="77777777" w:rsidR="00A71F21" w:rsidRDefault="00A71F21">
      <w:pPr>
        <w:rPr>
          <w:rFonts w:ascii="Times New Roman" w:eastAsia="Times New Roman" w:hAnsi="Times New Roman" w:cs="Times New Roman"/>
          <w:b/>
        </w:rPr>
      </w:pPr>
    </w:p>
    <w:p w14:paraId="5E84335E" w14:textId="77777777" w:rsidR="00A71F21" w:rsidRDefault="00D84E6F">
      <w:pPr>
        <w:rPr>
          <w:rFonts w:ascii="Times New Roman" w:eastAsia="Times New Roman" w:hAnsi="Times New Roman" w:cs="Times New Roman"/>
          <w:b/>
          <w:i/>
        </w:rPr>
      </w:pPr>
      <w:r>
        <w:rPr>
          <w:rFonts w:ascii="Times New Roman" w:eastAsia="Times New Roman" w:hAnsi="Times New Roman" w:cs="Times New Roman"/>
          <w:b/>
          <w:i/>
        </w:rPr>
        <w:t>Temporal Pattern of Mental Health Diagnoses</w:t>
      </w:r>
    </w:p>
    <w:p w14:paraId="10B3751E" w14:textId="77777777" w:rsidR="00A71F21" w:rsidRDefault="00A71F21">
      <w:pPr>
        <w:rPr>
          <w:rFonts w:ascii="Times New Roman" w:eastAsia="Times New Roman" w:hAnsi="Times New Roman" w:cs="Times New Roman"/>
          <w:b/>
          <w:i/>
        </w:rPr>
      </w:pPr>
    </w:p>
    <w:p w14:paraId="4FA0BCD1"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Figure 1 displays the weekly incidence of mental health hospital diagnoses in Minneapolis from 2016-2020. The series exhibits a fairly consistent pattern in the pre-treatment period, followed by a decline in the weeks preceding the COVID-19 pandemic, alongside a modest increase in mental health diagnoses post-killing. In the month pre-killing we observe a rate of mental health diagnoses overall of about 1.85/1,000, as compared to a rate of 1.93/1,000 post-killing a modest overall increase of .08/1,000. After this initial modest increase of ~4%,  the rate modestly declined to levels roughly commensurate with the month pre-killing.</w:t>
      </w:r>
    </w:p>
    <w:p w14:paraId="64786B40" w14:textId="77777777" w:rsidR="00A71F21" w:rsidRDefault="00A71F21">
      <w:pPr>
        <w:rPr>
          <w:rFonts w:ascii="Times New Roman" w:eastAsia="Times New Roman" w:hAnsi="Times New Roman" w:cs="Times New Roman"/>
          <w:b/>
          <w:i/>
        </w:rPr>
      </w:pPr>
    </w:p>
    <w:p w14:paraId="7AB76178"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1 HERE]</w:t>
      </w:r>
    </w:p>
    <w:p w14:paraId="68233606" w14:textId="77777777" w:rsidR="00A71F21" w:rsidRDefault="00A71F21">
      <w:pPr>
        <w:jc w:val="center"/>
        <w:rPr>
          <w:rFonts w:ascii="Times New Roman" w:eastAsia="Times New Roman" w:hAnsi="Times New Roman" w:cs="Times New Roman"/>
          <w:b/>
        </w:rPr>
      </w:pPr>
    </w:p>
    <w:p w14:paraId="29DC60B8"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2 relays the racial group-specific time series of mental health hospital diagnoses. The beginning of the series exhibits fairly similar mental health rates across racial groups, with a divergence happening in 2017 between the rate for Black residents as compared to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While both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time series do not visually appear to have large increases post-killing, with differences of .02 and -.03  in the month prior compared to the month post-killing for each group respectively. </w:t>
      </w:r>
      <w:r>
        <w:rPr>
          <w:rFonts w:ascii="Times New Roman" w:eastAsia="Times New Roman" w:hAnsi="Times New Roman" w:cs="Times New Roman"/>
        </w:rPr>
        <w:lastRenderedPageBreak/>
        <w:t xml:space="preserve">However, the discontinuity in the Black time series is substantially larger, with a post-killing rate of 1.15/1,000 as compared to a weekly rate of 1.02 in the month pre-killing (a 12.7% increase). </w:t>
      </w:r>
    </w:p>
    <w:p w14:paraId="067732D6"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[FIGURE 2 HERE]</w:t>
      </w:r>
    </w:p>
    <w:p w14:paraId="25E5F3DE" w14:textId="77777777" w:rsidR="00A71F21" w:rsidRDefault="00D84E6F">
      <w:pPr>
        <w:spacing w:before="240" w:after="240"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Autoregressive Interrupted Time Series Models </w:t>
      </w:r>
    </w:p>
    <w:p w14:paraId="01C9410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1 presents AR(3) interrupted time series models of the mental health diagnosis rate in Minneapolis from 2016-2020. Model 1 regresses the overall mental health diagnosis rate per 1,000 on the time measures (discussed above) as well as the time-varying controls for seasonality, police behavior, and COVID-19 related policy. The model also adjusts the estimates for temporal autocorrelation with three lagged AR terms, effectively netting out the impact of previous mental health diagnoses on future discharges. Our focal parameter estimate of interest, </w:t>
      </w:r>
      <w:r>
        <w:rPr>
          <w:rFonts w:ascii="Times New Roman" w:eastAsia="Times New Roman" w:hAnsi="Times New Roman" w:cs="Times New Roman"/>
          <w:i/>
        </w:rPr>
        <w:t>Post-Killing</w:t>
      </w:r>
      <w:r>
        <w:rPr>
          <w:rFonts w:ascii="Times New Roman" w:eastAsia="Times New Roman" w:hAnsi="Times New Roman" w:cs="Times New Roman"/>
        </w:rPr>
        <w:t xml:space="preserve">, represents an instantaneous increase of .152 mental health discharges per 1,000, followed by weekly linear average declines of .01 per week.  Effectively, this means that it took ~15 weeks for the post-killing effect to dissipate to comparable pre-treatment levels. </w:t>
      </w:r>
    </w:p>
    <w:p w14:paraId="20CF5D11" w14:textId="77777777" w:rsidR="00A71F21" w:rsidRDefault="00D84E6F">
      <w:pPr>
        <w:spacing w:line="480" w:lineRule="auto"/>
        <w:jc w:val="center"/>
        <w:rPr>
          <w:rFonts w:ascii="Times New Roman" w:eastAsia="Times New Roman" w:hAnsi="Times New Roman" w:cs="Times New Roman"/>
        </w:rPr>
      </w:pPr>
      <w:r>
        <w:rPr>
          <w:rFonts w:ascii="Times New Roman" w:eastAsia="Times New Roman" w:hAnsi="Times New Roman" w:cs="Times New Roman"/>
        </w:rPr>
        <w:t>[TABLE 1 HERE]</w:t>
      </w:r>
    </w:p>
    <w:p w14:paraId="4E321444"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racial subgroup models highlight the racial heterogeneity in the effect of police-killing on mental health diagnoses. Models 2 and 4, models for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mental health discharges respectfully, show a weak increase post-killing, with increases of .061 and .022 respectively. In contrast, Model 2, which models the Black mental health diagnosis rate, exhibits a  quite large increase of .228 mental health diagnoses per 1,000 Black residents in post-killing. Further, this post-killing increase has some longevity: our estimates suggest that the Black mental health diagnosis rate has not returned to pre-treatment levels. At a weak weekly decrease of .007 mental health discharges per 1,000, the model estimates that it took ~32.6 weeks for discharge rates to return to pre-treatment levels (although this extrapolates beyond the observed series, as the decreases could have “sped up” in the early part of 2021). This suggests that the post-killing effect was driven primarily by increases in Black mental health discharges, and suggests that the police murder of George Floyd had a disproportionate, and substantially lengthy, negative impact on </w:t>
      </w:r>
      <w:r>
        <w:rPr>
          <w:rFonts w:ascii="Times New Roman" w:eastAsia="Times New Roman" w:hAnsi="Times New Roman" w:cs="Times New Roman"/>
        </w:rPr>
        <w:lastRenderedPageBreak/>
        <w:t xml:space="preserve">the Black community in Minneapolis in terms of hospitalized cases of mental health as compared to the other racial subgroups. </w:t>
      </w:r>
    </w:p>
    <w:p w14:paraId="7240634B" w14:textId="77777777" w:rsidR="00A71F21" w:rsidRDefault="00A71F21">
      <w:pPr>
        <w:rPr>
          <w:rFonts w:ascii="Times New Roman" w:eastAsia="Times New Roman" w:hAnsi="Times New Roman" w:cs="Times New Roman"/>
          <w:b/>
        </w:rPr>
      </w:pPr>
    </w:p>
    <w:p w14:paraId="2B2E3859" w14:textId="264622D4"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Table 2 presents the White and Black race-subgroup ITS Random Coefficient models, which use the within-neighborhood variation to estimate the </w:t>
      </w:r>
      <w:r>
        <w:rPr>
          <w:rFonts w:ascii="Times New Roman" w:eastAsia="Times New Roman" w:hAnsi="Times New Roman" w:cs="Times New Roman"/>
          <w:i/>
        </w:rPr>
        <w:t>Post-Killing</w:t>
      </w:r>
      <w:r>
        <w:rPr>
          <w:rFonts w:ascii="Times New Roman" w:eastAsia="Times New Roman" w:hAnsi="Times New Roman" w:cs="Times New Roman"/>
        </w:rPr>
        <w:t xml:space="preserve"> effect and allow for both the model intercept (i.e., the baseline level of mental health discharges, and </w:t>
      </w:r>
      <w:r>
        <w:rPr>
          <w:rFonts w:ascii="Times New Roman" w:eastAsia="Times New Roman" w:hAnsi="Times New Roman" w:cs="Times New Roman"/>
          <w:i/>
        </w:rPr>
        <w:t>Post-Killing</w:t>
      </w:r>
      <w:r>
        <w:rPr>
          <w:rFonts w:ascii="Times New Roman" w:eastAsia="Times New Roman" w:hAnsi="Times New Roman" w:cs="Times New Roman"/>
        </w:rPr>
        <w:t xml:space="preserve"> coefficients to vary by ZCTA. Corroborating the results of the pooled Minneapolis ITS models (see Table 1), within-neighborhood comparisons show post-killing </w:t>
      </w:r>
      <w:r w:rsidR="00F1276D">
        <w:rPr>
          <w:rFonts w:ascii="Times New Roman" w:eastAsia="Times New Roman" w:hAnsi="Times New Roman" w:cs="Times New Roman"/>
        </w:rPr>
        <w:t>decrease</w:t>
      </w:r>
      <w:r>
        <w:rPr>
          <w:rFonts w:ascii="Times New Roman" w:eastAsia="Times New Roman" w:hAnsi="Times New Roman" w:cs="Times New Roman"/>
        </w:rPr>
        <w:t xml:space="preserve"> of </w:t>
      </w:r>
      <w:r w:rsidRPr="00F1276D">
        <w:rPr>
          <w:rFonts w:ascii="Times New Roman" w:eastAsia="Times New Roman" w:hAnsi="Times New Roman" w:cs="Times New Roman"/>
        </w:rPr>
        <w:t>.00</w:t>
      </w:r>
      <w:r w:rsidR="00F1276D" w:rsidRPr="00F1276D">
        <w:rPr>
          <w:rFonts w:ascii="Times New Roman" w:eastAsia="Times New Roman" w:hAnsi="Times New Roman" w:cs="Times New Roman"/>
        </w:rPr>
        <w:t>2</w:t>
      </w:r>
      <w:r>
        <w:rPr>
          <w:rFonts w:ascii="Times New Roman" w:eastAsia="Times New Roman" w:hAnsi="Times New Roman" w:cs="Times New Roman"/>
        </w:rPr>
        <w:t xml:space="preserve"> for white residents, indicating that hospital mental health diagnoses for White residents did not appreciably change</w:t>
      </w:r>
      <w:r w:rsidR="00F1276D">
        <w:rPr>
          <w:rFonts w:ascii="Times New Roman" w:eastAsia="Times New Roman" w:hAnsi="Times New Roman" w:cs="Times New Roman"/>
        </w:rPr>
        <w:t xml:space="preserve"> on average</w:t>
      </w:r>
      <w:r>
        <w:rPr>
          <w:rFonts w:ascii="Times New Roman" w:eastAsia="Times New Roman" w:hAnsi="Times New Roman" w:cs="Times New Roman"/>
        </w:rPr>
        <w:t xml:space="preserve"> in the wake of the police killing. In contrast, Model 2 indicates a substantial increase in Black residents' mental health hospital diagnoses post-killing, with an increase of </w:t>
      </w:r>
      <w:r w:rsidRPr="00F1276D">
        <w:rPr>
          <w:rFonts w:ascii="Times New Roman" w:eastAsia="Times New Roman" w:hAnsi="Times New Roman" w:cs="Times New Roman"/>
        </w:rPr>
        <w:t>2.9</w:t>
      </w:r>
      <w:r>
        <w:rPr>
          <w:rFonts w:ascii="Times New Roman" w:eastAsia="Times New Roman" w:hAnsi="Times New Roman" w:cs="Times New Roman"/>
        </w:rPr>
        <w:t xml:space="preserve"> per 1,000 Black residents. This substantiates at the neighborhood-level the racially bifurcated effect of the police murder of </w:t>
      </w:r>
      <w:r w:rsidR="00F1276D">
        <w:rPr>
          <w:rFonts w:ascii="Times New Roman" w:eastAsia="Times New Roman" w:hAnsi="Times New Roman" w:cs="Times New Roman"/>
        </w:rPr>
        <w:t>Mr. Floyd</w:t>
      </w:r>
      <w:r>
        <w:rPr>
          <w:rFonts w:ascii="Times New Roman" w:eastAsia="Times New Roman" w:hAnsi="Times New Roman" w:cs="Times New Roman"/>
        </w:rPr>
        <w:t xml:space="preserve"> in Minneapolis, MN. The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model (Model 3) indicates a </w:t>
      </w:r>
      <w:r w:rsidRPr="007C49A4">
        <w:rPr>
          <w:rFonts w:ascii="Times New Roman" w:eastAsia="Times New Roman" w:hAnsi="Times New Roman" w:cs="Times New Roman"/>
        </w:rPr>
        <w:t>modest reduction</w:t>
      </w:r>
      <w:r>
        <w:rPr>
          <w:rFonts w:ascii="Times New Roman" w:eastAsia="Times New Roman" w:hAnsi="Times New Roman" w:cs="Times New Roman"/>
        </w:rPr>
        <w:t xml:space="preserve"> in mental health diagnoses post-killing, although the 95% confidence intervals indicate a wide variance in this </w:t>
      </w:r>
      <w:r w:rsidRPr="007C49A4">
        <w:rPr>
          <w:rFonts w:ascii="Times New Roman" w:eastAsia="Times New Roman" w:hAnsi="Times New Roman" w:cs="Times New Roman"/>
        </w:rPr>
        <w:t>estimate and the interval includes 0.</w:t>
      </w:r>
      <w:r>
        <w:rPr>
          <w:rFonts w:ascii="Times New Roman" w:eastAsia="Times New Roman" w:hAnsi="Times New Roman" w:cs="Times New Roman"/>
        </w:rPr>
        <w:t xml:space="preserve"> Models 4, 5, and 6 add the aforementioned interaction term between the post-killing term and concentrated disadvantage to each racial subgroup RE model. The interaction term in Model 4 indicates that the post-killing effect for White residents exhibited heterogeneity by </w:t>
      </w:r>
      <w:r w:rsidR="00F1276D">
        <w:rPr>
          <w:rFonts w:ascii="Times New Roman" w:eastAsia="Times New Roman" w:hAnsi="Times New Roman" w:cs="Times New Roman"/>
        </w:rPr>
        <w:t>disadvantage, with</w:t>
      </w:r>
      <w:r>
        <w:rPr>
          <w:rFonts w:ascii="Times New Roman" w:eastAsia="Times New Roman" w:hAnsi="Times New Roman" w:cs="Times New Roman"/>
        </w:rPr>
        <w:t xml:space="preserve"> a one standard deviation increase in concentrated disadvantage leading to a </w:t>
      </w:r>
      <w:r w:rsidRPr="007C49A4">
        <w:rPr>
          <w:rFonts w:ascii="Times New Roman" w:eastAsia="Times New Roman" w:hAnsi="Times New Roman" w:cs="Times New Roman"/>
        </w:rPr>
        <w:t>.</w:t>
      </w:r>
      <w:r w:rsidR="007C49A4" w:rsidRPr="007C49A4">
        <w:rPr>
          <w:rFonts w:ascii="Times New Roman" w:eastAsia="Times New Roman" w:hAnsi="Times New Roman" w:cs="Times New Roman"/>
        </w:rPr>
        <w:t>19</w:t>
      </w:r>
      <w:r>
        <w:rPr>
          <w:rFonts w:ascii="Times New Roman" w:eastAsia="Times New Roman" w:hAnsi="Times New Roman" w:cs="Times New Roman"/>
        </w:rPr>
        <w:t xml:space="preserve"> greater post-killing increase in White residents’ mental health diagnoses. Similarly, Model 6 exhibits </w:t>
      </w:r>
      <w:r w:rsidRPr="007C49A4">
        <w:rPr>
          <w:rFonts w:ascii="Times New Roman" w:eastAsia="Times New Roman" w:hAnsi="Times New Roman" w:cs="Times New Roman"/>
        </w:rPr>
        <w:t>a positive interaction term</w:t>
      </w:r>
      <w:r>
        <w:rPr>
          <w:rFonts w:ascii="Times New Roman" w:eastAsia="Times New Roman" w:hAnsi="Times New Roman" w:cs="Times New Roman"/>
        </w:rPr>
        <w:t xml:space="preserve"> wherein the slight decreases in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mental health diagnoses post-killing were smaller in areas of higher </w:t>
      </w:r>
      <w:r w:rsidRPr="007C49A4">
        <w:rPr>
          <w:rFonts w:ascii="Times New Roman" w:eastAsia="Times New Roman" w:hAnsi="Times New Roman" w:cs="Times New Roman"/>
        </w:rPr>
        <w:t>disadvantage (although the 95% CI for this estimate includes 0).</w:t>
      </w:r>
      <w:r>
        <w:rPr>
          <w:rFonts w:ascii="Times New Roman" w:eastAsia="Times New Roman" w:hAnsi="Times New Roman" w:cs="Times New Roman"/>
        </w:rPr>
        <w:t xml:space="preserve"> In contrast, Model 5 shows that</w:t>
      </w:r>
      <w:r w:rsidRPr="007C49A4">
        <w:rPr>
          <w:rFonts w:ascii="Times New Roman" w:eastAsia="Times New Roman" w:hAnsi="Times New Roman" w:cs="Times New Roman"/>
        </w:rPr>
        <w:t>, while still positive in magnitude, the interaction term is much smaller in magnitude comparatively (and the 95% CI for this estimate includes 0),</w:t>
      </w:r>
      <w:r>
        <w:rPr>
          <w:rFonts w:ascii="Times New Roman" w:eastAsia="Times New Roman" w:hAnsi="Times New Roman" w:cs="Times New Roman"/>
        </w:rPr>
        <w:t xml:space="preserve"> suggesting that the post-killing increases did not vary appreciably by the level of concentrated disadvantage for Black residents to the same extent as they did for White residents.  In sum, these models illustrate that the deleterious impacts of the police killing 1) was concentrated amongst Black mental </w:t>
      </w:r>
      <w:r>
        <w:rPr>
          <w:rFonts w:ascii="Times New Roman" w:eastAsia="Times New Roman" w:hAnsi="Times New Roman" w:cs="Times New Roman"/>
        </w:rPr>
        <w:lastRenderedPageBreak/>
        <w:t xml:space="preserve">health, 2) was observed </w:t>
      </w:r>
      <w:r>
        <w:rPr>
          <w:rFonts w:ascii="Times New Roman" w:eastAsia="Times New Roman" w:hAnsi="Times New Roman" w:cs="Times New Roman"/>
          <w:i/>
        </w:rPr>
        <w:t xml:space="preserve">city-wide, </w:t>
      </w:r>
      <w:r>
        <w:rPr>
          <w:rFonts w:ascii="Times New Roman" w:eastAsia="Times New Roman" w:hAnsi="Times New Roman" w:cs="Times New Roman"/>
        </w:rPr>
        <w:t xml:space="preserve">and 3) negative mental health effects for Whites were spatially located in areas characterized by high levels of concentrated disadvantage. </w:t>
      </w:r>
    </w:p>
    <w:p w14:paraId="27346ACD" w14:textId="77777777" w:rsidR="00A71F21" w:rsidRDefault="00A71F21">
      <w:pPr>
        <w:rPr>
          <w:rFonts w:ascii="Times New Roman" w:eastAsia="Times New Roman" w:hAnsi="Times New Roman" w:cs="Times New Roman"/>
        </w:rPr>
      </w:pPr>
    </w:p>
    <w:p w14:paraId="20F2045B" w14:textId="77777777" w:rsidR="00A71F21" w:rsidRDefault="00D84E6F">
      <w:pPr>
        <w:jc w:val="center"/>
        <w:rPr>
          <w:rFonts w:ascii="Times New Roman" w:eastAsia="Times New Roman" w:hAnsi="Times New Roman" w:cs="Times New Roman"/>
        </w:rPr>
      </w:pPr>
      <w:r>
        <w:rPr>
          <w:rFonts w:ascii="Times New Roman" w:eastAsia="Times New Roman" w:hAnsi="Times New Roman" w:cs="Times New Roman"/>
        </w:rPr>
        <w:t>[TABLE 2 HERE]</w:t>
      </w:r>
    </w:p>
    <w:p w14:paraId="7F9DCE47" w14:textId="77777777" w:rsidR="00A71F21" w:rsidRDefault="00A71F21">
      <w:pPr>
        <w:rPr>
          <w:rFonts w:ascii="Times New Roman" w:eastAsia="Times New Roman" w:hAnsi="Times New Roman" w:cs="Times New Roman"/>
        </w:rPr>
      </w:pPr>
    </w:p>
    <w:p w14:paraId="63FF74F9" w14:textId="375AAEB0"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Figures 3, </w:t>
      </w:r>
      <w:r w:rsidR="00F1276D">
        <w:rPr>
          <w:rFonts w:ascii="Times New Roman" w:eastAsia="Times New Roman" w:hAnsi="Times New Roman" w:cs="Times New Roman"/>
        </w:rPr>
        <w:t>4, 5</w:t>
      </w:r>
      <w:r>
        <w:rPr>
          <w:rFonts w:ascii="Times New Roman" w:eastAsia="Times New Roman" w:hAnsi="Times New Roman" w:cs="Times New Roman"/>
        </w:rPr>
        <w:t xml:space="preserve">, and 6 contextualize these patterns by plotting the spatial distribution of post-killing random coefficients from the base RE models for White (Figure 3), Black (Figure 4),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(Figure 5) residents alongside levels of concentrated disadvantage</w:t>
      </w:r>
      <w:r w:rsidR="00F1276D">
        <w:rPr>
          <w:rFonts w:ascii="Times New Roman" w:eastAsia="Times New Roman" w:hAnsi="Times New Roman" w:cs="Times New Roman"/>
        </w:rPr>
        <w:t xml:space="preserve"> (Figure 6)</w:t>
      </w:r>
      <w:r>
        <w:rPr>
          <w:rFonts w:ascii="Times New Roman" w:eastAsia="Times New Roman" w:hAnsi="Times New Roman" w:cs="Times New Roman"/>
        </w:rPr>
        <w:t xml:space="preserve">. In general, the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post-killing effects tend to be stronger (or less negative in the case of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in areas of higher concentrated disadvantage, such as North Minneapolis and the East Phillips neighborhood (the red and orange areas of Figure 6).</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In contrast, the post-killing increases in Black mental health discharges were remarkably stable across space, with the exception a slight decrease in downtown Minneapolis, and a quite large increase in mental health diagnosis rates for Black residents in ZCTA 55455, which is the ZCTA that contains the University of Minnesota-Twin Cities campus. Note also the magnitude and scale of the estimated effects shown in Figure 4 relative to the more modest effects in Figures 3 and 5. In general, these patterns of results establish the </w:t>
      </w:r>
      <w:r>
        <w:rPr>
          <w:rFonts w:ascii="Times New Roman" w:eastAsia="Times New Roman" w:hAnsi="Times New Roman" w:cs="Times New Roman"/>
          <w:i/>
        </w:rPr>
        <w:t xml:space="preserve">spatially racialized </w:t>
      </w:r>
      <w:r>
        <w:rPr>
          <w:rFonts w:ascii="Times New Roman" w:eastAsia="Times New Roman" w:hAnsi="Times New Roman" w:cs="Times New Roman"/>
        </w:rPr>
        <w:t>character of the harmful effects of police violence, where Black residents experience a universal harm and the negative effects for White residents are confined to those disadvantaged.</w:t>
      </w:r>
    </w:p>
    <w:p w14:paraId="5A3765F9" w14:textId="77777777" w:rsidR="00A71F21" w:rsidRDefault="00A71F21">
      <w:pPr>
        <w:rPr>
          <w:rFonts w:ascii="Times New Roman" w:eastAsia="Times New Roman" w:hAnsi="Times New Roman" w:cs="Times New Roman"/>
        </w:rPr>
      </w:pPr>
    </w:p>
    <w:p w14:paraId="1A4FE26B"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t xml:space="preserve">Discussion </w:t>
      </w:r>
    </w:p>
    <w:p w14:paraId="05ADD800" w14:textId="77777777" w:rsidR="00A71F21" w:rsidRDefault="00A71F21">
      <w:pPr>
        <w:spacing w:line="480" w:lineRule="auto"/>
        <w:rPr>
          <w:rFonts w:ascii="Times New Roman" w:eastAsia="Times New Roman" w:hAnsi="Times New Roman" w:cs="Times New Roman"/>
        </w:rPr>
      </w:pPr>
    </w:p>
    <w:p w14:paraId="79442328" w14:textId="45834E62"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the wake of </w:t>
      </w:r>
      <w:r w:rsidR="007C49A4">
        <w:rPr>
          <w:rFonts w:ascii="Times New Roman" w:eastAsia="Times New Roman" w:hAnsi="Times New Roman" w:cs="Times New Roman"/>
        </w:rPr>
        <w:t>George</w:t>
      </w:r>
      <w:r>
        <w:rPr>
          <w:rFonts w:ascii="Times New Roman" w:eastAsia="Times New Roman" w:hAnsi="Times New Roman" w:cs="Times New Roman"/>
        </w:rPr>
        <w:t xml:space="preserve"> Floyd’s murder, our study found a modest overall increase of mental health diagnoses followed by a decline to levels approximating those observed in  the pre-murder period. However, our racially-stratified analysis finds much larger deleterious impacts of the police murder among Black residents. Specifically, we find that they experienced a universal (spatially) and </w:t>
      </w:r>
      <w:r>
        <w:rPr>
          <w:rFonts w:ascii="Times New Roman" w:eastAsia="Times New Roman" w:hAnsi="Times New Roman" w:cs="Times New Roman"/>
        </w:rPr>
        <w:lastRenderedPageBreak/>
        <w:t xml:space="preserve">longstanding harm whereas there was little impact for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and white residents, but the harmful effects for these groups were spatially located in areas characterized by high levels of concentrated disadvantage. </w:t>
      </w:r>
    </w:p>
    <w:p w14:paraId="4605A759" w14:textId="77777777" w:rsidR="00A71F21" w:rsidRDefault="00A71F21">
      <w:pPr>
        <w:spacing w:line="480" w:lineRule="auto"/>
        <w:rPr>
          <w:rFonts w:ascii="Times New Roman" w:eastAsia="Times New Roman" w:hAnsi="Times New Roman" w:cs="Times New Roman"/>
        </w:rPr>
      </w:pPr>
    </w:p>
    <w:p w14:paraId="61F1D7DF" w14:textId="689DB2FA"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Our results suggest that residing in advantaged neighborhoods did not insulate Black people from experiencing mental health diagnoses post-murder of Mr. Floyd.  The global effects of Mr. Floyd’s murder on Black people’s mental health are likely reflective of structural racism, which Bailey et al. define as “the totality of ways in which societies foster racial discrimination through mutually reinforcing systems of housing, education, employment, earnings, benefits, credit, media, health care, and criminal justice.”</w:t>
      </w:r>
      <w:hyperlink r:id="rId27">
        <w:r>
          <w:rPr>
            <w:rFonts w:ascii="Times New Roman" w:eastAsia="Times New Roman" w:hAnsi="Times New Roman" w:cs="Times New Roman"/>
            <w:vertAlign w:val="superscript"/>
          </w:rPr>
          <w:t>22</w:t>
        </w:r>
      </w:hyperlink>
      <w:r>
        <w:rPr>
          <w:rFonts w:ascii="Times New Roman" w:eastAsia="Times New Roman" w:hAnsi="Times New Roman" w:cs="Times New Roman"/>
        </w:rPr>
        <w:t xml:space="preserve"> Structural racism is a fundamental cause of health inequity that undermines health through a series of interdependent pathways, including (but not limited to) economic injustice and social deprivation, inadequate health care, maladaptive coping mechanisms, and psychosocial trauma.</w:t>
      </w:r>
      <w:hyperlink r:id="rId28">
        <w:r>
          <w:rPr>
            <w:rFonts w:ascii="Times New Roman" w:eastAsia="Times New Roman" w:hAnsi="Times New Roman" w:cs="Times New Roman"/>
            <w:vertAlign w:val="superscript"/>
          </w:rPr>
          <w:t>22,23</w:t>
        </w:r>
      </w:hyperlink>
      <w:r>
        <w:rPr>
          <w:rFonts w:ascii="Times New Roman" w:eastAsia="Times New Roman" w:hAnsi="Times New Roman" w:cs="Times New Roman"/>
        </w:rPr>
        <w:t xml:space="preserve">  Our work adds further evidence that police violence operates as a fundamental mechanism in the structural racism-health pathway that (re)produces, in part, the racial disparities in health we observe.  These structural racism-health pathways create, in part, racial disparities in police contact and </w:t>
      </w:r>
      <w:r w:rsidR="00BB63F0">
        <w:rPr>
          <w:rFonts w:ascii="Times New Roman" w:eastAsia="Times New Roman" w:hAnsi="Times New Roman" w:cs="Times New Roman"/>
        </w:rPr>
        <w:t>downstream disparities</w:t>
      </w:r>
      <w:r>
        <w:rPr>
          <w:rFonts w:ascii="Times New Roman" w:eastAsia="Times New Roman" w:hAnsi="Times New Roman" w:cs="Times New Roman"/>
        </w:rPr>
        <w:t xml:space="preserve"> in mental health concerns. Economic injustice and social deprivation increase the chances that Black neighborhoods experience high concentrations of community and police violence.</w:t>
      </w:r>
      <w:hyperlink r:id="rId29">
        <w:r>
          <w:rPr>
            <w:rFonts w:ascii="Times New Roman" w:eastAsia="Times New Roman" w:hAnsi="Times New Roman" w:cs="Times New Roman"/>
            <w:vertAlign w:val="superscript"/>
          </w:rPr>
          <w:t>24</w:t>
        </w:r>
      </w:hyperlink>
      <w:r>
        <w:rPr>
          <w:rFonts w:ascii="Times New Roman" w:eastAsia="Times New Roman" w:hAnsi="Times New Roman" w:cs="Times New Roman"/>
        </w:rPr>
        <w:t xml:space="preserve"> As such, vicarious police violence exposures may exacerbate symptoms of untreated psychological distress and foster psychosocial trauma. Black people in-and-out-of-advantaged contexts can experience this psychosocial trauma; each high profile police murder of an unarmed Black person adds another racial injustice to the nation’s legacy of limited accountability for anti-Black violence.</w:t>
      </w:r>
      <w:hyperlink r:id="rId30">
        <w:r>
          <w:rPr>
            <w:rFonts w:ascii="Times New Roman" w:eastAsia="Times New Roman" w:hAnsi="Times New Roman" w:cs="Times New Roman"/>
            <w:vertAlign w:val="superscript"/>
          </w:rPr>
          <w:t>25</w:t>
        </w:r>
      </w:hyperlink>
      <w:r>
        <w:rPr>
          <w:rFonts w:ascii="Times New Roman" w:eastAsia="Times New Roman" w:hAnsi="Times New Roman" w:cs="Times New Roman"/>
        </w:rPr>
        <w:t xml:space="preserve"> The resulting racial trauma manifests itself in the increased worry, anticipatory stress, and adverse mental health that we found in our analysis.</w:t>
      </w:r>
      <w:hyperlink r:id="rId31">
        <w:r>
          <w:rPr>
            <w:rFonts w:ascii="Times New Roman" w:eastAsia="Times New Roman" w:hAnsi="Times New Roman" w:cs="Times New Roman"/>
            <w:vertAlign w:val="superscript"/>
          </w:rPr>
          <w:t>14</w:t>
        </w:r>
      </w:hyperlink>
    </w:p>
    <w:p w14:paraId="15F37E59" w14:textId="77777777" w:rsidR="00A71F21" w:rsidRDefault="00A71F21">
      <w:pPr>
        <w:spacing w:line="240" w:lineRule="auto"/>
        <w:jc w:val="both"/>
        <w:rPr>
          <w:rFonts w:ascii="Times New Roman" w:eastAsia="Times New Roman" w:hAnsi="Times New Roman" w:cs="Times New Roman"/>
        </w:rPr>
      </w:pPr>
    </w:p>
    <w:p w14:paraId="3942EB3B" w14:textId="77777777" w:rsidR="00A71F21" w:rsidRDefault="00A71F21">
      <w:pPr>
        <w:spacing w:line="240" w:lineRule="auto"/>
        <w:ind w:firstLine="720"/>
        <w:jc w:val="both"/>
        <w:rPr>
          <w:rFonts w:ascii="Times New Roman" w:eastAsia="Times New Roman" w:hAnsi="Times New Roman" w:cs="Times New Roman"/>
        </w:rPr>
      </w:pPr>
    </w:p>
    <w:p w14:paraId="57471A89" w14:textId="77777777" w:rsidR="00A71F21" w:rsidRDefault="00D84E6F">
      <w:pPr>
        <w:spacing w:line="480" w:lineRule="auto"/>
        <w:rPr>
          <w:rFonts w:ascii="Times New Roman" w:eastAsia="Times New Roman" w:hAnsi="Times New Roman" w:cs="Times New Roman"/>
          <w:b/>
        </w:rPr>
      </w:pPr>
      <w:r>
        <w:rPr>
          <w:rFonts w:ascii="Times New Roman" w:eastAsia="Times New Roman" w:hAnsi="Times New Roman" w:cs="Times New Roman"/>
        </w:rPr>
        <w:t xml:space="preserve">Our study is not without limitations. First, hospital discharge data only captures mental health diagnoses among those who went to the hospital for care,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more serious cases. Mental health stigma, a lack of health insurance, or medical mistrust, which is fostered by police violence exposure, could serve as </w:t>
      </w:r>
      <w:r>
        <w:rPr>
          <w:rFonts w:ascii="Times New Roman" w:eastAsia="Times New Roman" w:hAnsi="Times New Roman" w:cs="Times New Roman"/>
        </w:rPr>
        <w:lastRenderedPageBreak/>
        <w:t>barriers to seeking hospital care.</w:t>
      </w:r>
      <w:hyperlink r:id="rId32">
        <w:r>
          <w:rPr>
            <w:rFonts w:ascii="Times New Roman" w:eastAsia="Times New Roman" w:hAnsi="Times New Roman" w:cs="Times New Roman"/>
            <w:vertAlign w:val="superscript"/>
          </w:rPr>
          <w:t>26</w:t>
        </w:r>
      </w:hyperlink>
      <w:r>
        <w:rPr>
          <w:rFonts w:ascii="Times New Roman" w:eastAsia="Times New Roman" w:hAnsi="Times New Roman" w:cs="Times New Roman"/>
        </w:rPr>
        <w:t xml:space="preserve"> This self-selection of not receiving health care could have also been exacerbated because of COVID-19. Second, despite our efforts to adjust estimates for changes in COVID-19-related policy, police behavior and seasonality, we cannot rule out other unmeasured confounders that could represent a threat to internal validity.  Our identification strategy in the ITS model assumes that the event shift in mental health diagnoses is fully attributable to the event. However, if other changes contemporaneous with the event week took place (e.g., changes in population composition, other exogenous events), net of our time varying controls, our estimates would be biased. Third, although our models focus on Black, white, and </w:t>
      </w:r>
      <w:proofErr w:type="spellStart"/>
      <w:r>
        <w:rPr>
          <w:rFonts w:ascii="Times New Roman" w:eastAsia="Times New Roman" w:hAnsi="Times New Roman" w:cs="Times New Roman"/>
        </w:rPr>
        <w:t>Latine</w:t>
      </w:r>
      <w:proofErr w:type="spellEnd"/>
      <w:r>
        <w:rPr>
          <w:rFonts w:ascii="Times New Roman" w:eastAsia="Times New Roman" w:hAnsi="Times New Roman" w:cs="Times New Roman"/>
        </w:rPr>
        <w:t xml:space="preserve"> residents, our analysis does not examine effects among Indigenous residents, who have been historic targets of police violence in Minneapolis</w:t>
      </w:r>
      <w:hyperlink r:id="rId33">
        <w:r>
          <w:rPr>
            <w:rFonts w:ascii="Times New Roman" w:eastAsia="Times New Roman" w:hAnsi="Times New Roman" w:cs="Times New Roman"/>
            <w:vertAlign w:val="superscript"/>
          </w:rPr>
          <w:t>27</w:t>
        </w:r>
      </w:hyperlink>
      <w:r>
        <w:rPr>
          <w:rFonts w:ascii="Times New Roman" w:eastAsia="Times New Roman" w:hAnsi="Times New Roman" w:cs="Times New Roman"/>
        </w:rPr>
        <w:t xml:space="preserve">  and elsewhere.</w:t>
      </w:r>
      <w:hyperlink r:id="rId34">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This historical trauma could have also worsened this group's mental health due to the murder of Mr. Floyd. However, due to sparse data in this subpopulation we were not able to explore this. </w:t>
      </w:r>
    </w:p>
    <w:p w14:paraId="5DD1ED62" w14:textId="77777777" w:rsidR="00A71F21" w:rsidRDefault="00A71F21">
      <w:pPr>
        <w:rPr>
          <w:rFonts w:ascii="Times New Roman" w:eastAsia="Times New Roman" w:hAnsi="Times New Roman" w:cs="Times New Roman"/>
        </w:rPr>
      </w:pPr>
    </w:p>
    <w:p w14:paraId="598CACDB" w14:textId="77777777" w:rsidR="00A71F21" w:rsidRDefault="00A71F21">
      <w:pPr>
        <w:rPr>
          <w:rFonts w:ascii="Times New Roman" w:eastAsia="Times New Roman" w:hAnsi="Times New Roman" w:cs="Times New Roman"/>
        </w:rPr>
      </w:pPr>
    </w:p>
    <w:p w14:paraId="04D028C0" w14:textId="77777777" w:rsidR="00A71F21" w:rsidRDefault="00D84E6F">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conclusion, these findings speak to the traumatizing effects of police violence and the short- and longer-term public health consequences for communities, particularly Black communities. We have much historical and contemporary evidence that Black residents are disproportionately the targets of police violence. Our study adds to the mounting evidence showing the disproportionate mental health consequences of this violence. </w:t>
      </w:r>
    </w:p>
    <w:p w14:paraId="40B80366" w14:textId="77777777" w:rsidR="00A71F21" w:rsidRDefault="00A71F21">
      <w:pPr>
        <w:rPr>
          <w:rFonts w:ascii="Times New Roman" w:eastAsia="Times New Roman" w:hAnsi="Times New Roman" w:cs="Times New Roman"/>
        </w:rPr>
      </w:pPr>
    </w:p>
    <w:p w14:paraId="6E673BFD" w14:textId="77777777" w:rsidR="00A71F21" w:rsidRDefault="00A71F21">
      <w:pPr>
        <w:rPr>
          <w:rFonts w:ascii="Times New Roman" w:eastAsia="Times New Roman" w:hAnsi="Times New Roman" w:cs="Times New Roman"/>
        </w:rPr>
      </w:pPr>
    </w:p>
    <w:p w14:paraId="0975543F" w14:textId="77777777" w:rsidR="00A71F21" w:rsidRDefault="00A71F21">
      <w:pPr>
        <w:rPr>
          <w:rFonts w:ascii="Times New Roman" w:eastAsia="Times New Roman" w:hAnsi="Times New Roman" w:cs="Times New Roman"/>
        </w:rPr>
      </w:pPr>
    </w:p>
    <w:p w14:paraId="752DA7C3" w14:textId="77777777" w:rsidR="00A71F21" w:rsidRDefault="00A71F21">
      <w:pPr>
        <w:rPr>
          <w:rFonts w:ascii="Times New Roman" w:eastAsia="Times New Roman" w:hAnsi="Times New Roman" w:cs="Times New Roman"/>
        </w:rPr>
      </w:pPr>
    </w:p>
    <w:p w14:paraId="7389CA7D" w14:textId="2FFC8C62" w:rsidR="00A71F21" w:rsidRDefault="00A71F21">
      <w:pPr>
        <w:rPr>
          <w:rFonts w:ascii="Times New Roman" w:eastAsia="Times New Roman" w:hAnsi="Times New Roman" w:cs="Times New Roman"/>
          <w:b/>
        </w:rPr>
      </w:pPr>
    </w:p>
    <w:p w14:paraId="06A25FE6" w14:textId="1E45BB4C" w:rsidR="002970A9" w:rsidRDefault="002970A9">
      <w:pPr>
        <w:rPr>
          <w:rFonts w:ascii="Times New Roman" w:eastAsia="Times New Roman" w:hAnsi="Times New Roman" w:cs="Times New Roman"/>
          <w:b/>
        </w:rPr>
      </w:pPr>
    </w:p>
    <w:p w14:paraId="742F03AF" w14:textId="4AAD4FCD" w:rsidR="002970A9" w:rsidRDefault="002970A9">
      <w:pPr>
        <w:rPr>
          <w:rFonts w:ascii="Times New Roman" w:eastAsia="Times New Roman" w:hAnsi="Times New Roman" w:cs="Times New Roman"/>
          <w:b/>
        </w:rPr>
      </w:pPr>
    </w:p>
    <w:p w14:paraId="75DB55CB" w14:textId="7A774348" w:rsidR="002970A9" w:rsidRDefault="002970A9">
      <w:pPr>
        <w:rPr>
          <w:rFonts w:ascii="Times New Roman" w:eastAsia="Times New Roman" w:hAnsi="Times New Roman" w:cs="Times New Roman"/>
          <w:b/>
        </w:rPr>
      </w:pPr>
    </w:p>
    <w:p w14:paraId="4C5D08C8" w14:textId="2826C297" w:rsidR="002970A9" w:rsidRDefault="002970A9">
      <w:pPr>
        <w:rPr>
          <w:rFonts w:ascii="Times New Roman" w:eastAsia="Times New Roman" w:hAnsi="Times New Roman" w:cs="Times New Roman"/>
          <w:b/>
        </w:rPr>
      </w:pPr>
    </w:p>
    <w:p w14:paraId="7203DDD7" w14:textId="196269C8" w:rsidR="002970A9" w:rsidRDefault="002970A9">
      <w:pPr>
        <w:rPr>
          <w:rFonts w:ascii="Times New Roman" w:eastAsia="Times New Roman" w:hAnsi="Times New Roman" w:cs="Times New Roman"/>
          <w:b/>
        </w:rPr>
      </w:pPr>
    </w:p>
    <w:p w14:paraId="6F80EE0D" w14:textId="4039651B" w:rsidR="002970A9" w:rsidRDefault="002970A9">
      <w:pPr>
        <w:rPr>
          <w:rFonts w:ascii="Times New Roman" w:eastAsia="Times New Roman" w:hAnsi="Times New Roman" w:cs="Times New Roman"/>
          <w:b/>
        </w:rPr>
      </w:pPr>
    </w:p>
    <w:p w14:paraId="74E8845D" w14:textId="172ACF89" w:rsidR="002970A9" w:rsidRDefault="002970A9">
      <w:pPr>
        <w:rPr>
          <w:rFonts w:ascii="Times New Roman" w:eastAsia="Times New Roman" w:hAnsi="Times New Roman" w:cs="Times New Roman"/>
          <w:b/>
        </w:rPr>
      </w:pPr>
    </w:p>
    <w:p w14:paraId="60687609" w14:textId="22852B1C" w:rsidR="002970A9" w:rsidRDefault="002970A9">
      <w:pPr>
        <w:rPr>
          <w:rFonts w:ascii="Times New Roman" w:eastAsia="Times New Roman" w:hAnsi="Times New Roman" w:cs="Times New Roman"/>
          <w:b/>
        </w:rPr>
      </w:pPr>
    </w:p>
    <w:p w14:paraId="69D3A3F7" w14:textId="77777777" w:rsidR="002970A9" w:rsidRDefault="002970A9">
      <w:pPr>
        <w:rPr>
          <w:rFonts w:ascii="Times New Roman" w:eastAsia="Times New Roman" w:hAnsi="Times New Roman" w:cs="Times New Roman"/>
          <w:b/>
        </w:rPr>
      </w:pPr>
    </w:p>
    <w:p w14:paraId="082A17EC" w14:textId="77777777" w:rsidR="00A71F21" w:rsidRDefault="00D84E6F">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51E46B9C" w14:textId="77777777" w:rsidR="00A71F21" w:rsidRDefault="00A71F21">
      <w:pPr>
        <w:rPr>
          <w:rFonts w:ascii="Times New Roman" w:eastAsia="Times New Roman" w:hAnsi="Times New Roman" w:cs="Times New Roman"/>
        </w:rPr>
      </w:pPr>
    </w:p>
    <w:p w14:paraId="4E503070"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5">
        <w:r w:rsidR="00D84E6F">
          <w:t>1.</w:t>
        </w:r>
        <w:r w:rsidR="00D84E6F">
          <w:tab/>
          <w:t xml:space="preserve">James Baldwin’s National Press Club Speech. </w:t>
        </w:r>
      </w:hyperlink>
      <w:hyperlink r:id="rId36">
        <w:r w:rsidR="00D84E6F">
          <w:rPr>
            <w:i/>
          </w:rPr>
          <w:t>National Press Club</w:t>
        </w:r>
      </w:hyperlink>
      <w:hyperlink r:id="rId37">
        <w:r w:rsidR="00D84E6F">
          <w:t>. Published online 1986. Accessed April 13, 2023. https://www.press.org/author-speech-0</w:t>
        </w:r>
      </w:hyperlink>
    </w:p>
    <w:p w14:paraId="755F05A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38">
        <w:r w:rsidR="00D84E6F">
          <w:t>2.</w:t>
        </w:r>
        <w:r w:rsidR="00D84E6F">
          <w:tab/>
          <w:t xml:space="preserve">Lyons CJ, Painter-Davis N, </w:t>
        </w:r>
        <w:proofErr w:type="spellStart"/>
        <w:r w:rsidR="00D84E6F">
          <w:t>Medaris</w:t>
        </w:r>
        <w:proofErr w:type="spellEnd"/>
        <w:r w:rsidR="00D84E6F">
          <w:t xml:space="preserve"> DC. The Lynching Era and Contemporary Lethal Police Shootings in the South. </w:t>
        </w:r>
      </w:hyperlink>
      <w:hyperlink r:id="rId39">
        <w:r w:rsidR="00D84E6F">
          <w:rPr>
            <w:i/>
          </w:rPr>
          <w:t>Race and Justice</w:t>
        </w:r>
      </w:hyperlink>
      <w:hyperlink r:id="rId40">
        <w:r w:rsidR="00D84E6F">
          <w:t>. Published online August 15, 2022:21533687221120950. doi:10.1177/21533687221120951</w:t>
        </w:r>
      </w:hyperlink>
    </w:p>
    <w:p w14:paraId="59682CF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1">
        <w:r w:rsidR="00D84E6F">
          <w:t>3.</w:t>
        </w:r>
        <w:r w:rsidR="00D84E6F">
          <w:tab/>
        </w:r>
        <w:proofErr w:type="spellStart"/>
        <w:r w:rsidR="00D84E6F">
          <w:t>DeVylder</w:t>
        </w:r>
        <w:proofErr w:type="spellEnd"/>
        <w:r w:rsidR="00D84E6F">
          <w:t xml:space="preserve"> JE, Oh HY, Nam B, Sharpe TL, Lehmann M, Link BG. Prevalence, demographic variation and psychological correlates of exposure to police </w:t>
        </w:r>
        <w:proofErr w:type="spellStart"/>
        <w:r w:rsidR="00D84E6F">
          <w:t>victimisation</w:t>
        </w:r>
        <w:proofErr w:type="spellEnd"/>
        <w:r w:rsidR="00D84E6F">
          <w:t xml:space="preserve"> in four US cities. </w:t>
        </w:r>
      </w:hyperlink>
      <w:hyperlink r:id="rId42">
        <w:r w:rsidR="00D84E6F">
          <w:rPr>
            <w:i/>
          </w:rPr>
          <w:t xml:space="preserve">Epidemiol </w:t>
        </w:r>
        <w:proofErr w:type="spellStart"/>
        <w:r w:rsidR="00D84E6F">
          <w:rPr>
            <w:i/>
          </w:rPr>
          <w:t>Psychiatr</w:t>
        </w:r>
        <w:proofErr w:type="spellEnd"/>
        <w:r w:rsidR="00D84E6F">
          <w:rPr>
            <w:i/>
          </w:rPr>
          <w:t xml:space="preserve"> Sci</w:t>
        </w:r>
      </w:hyperlink>
      <w:hyperlink r:id="rId43">
        <w:r w:rsidR="00D84E6F">
          <w:t>. 2016;26(5):466-477. doi:10.1017/S2045796016000810</w:t>
        </w:r>
      </w:hyperlink>
    </w:p>
    <w:p w14:paraId="0C919ED4"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4">
        <w:r w:rsidR="00D84E6F">
          <w:t>4.</w:t>
        </w:r>
        <w:r w:rsidR="00D84E6F">
          <w:tab/>
          <w:t xml:space="preserve">Knox D, Lowe W, </w:t>
        </w:r>
        <w:proofErr w:type="spellStart"/>
        <w:r w:rsidR="00D84E6F">
          <w:t>Mummolo</w:t>
        </w:r>
        <w:proofErr w:type="spellEnd"/>
        <w:r w:rsidR="00D84E6F">
          <w:t xml:space="preserve"> J. Administrative Records Mask Racially Biased Policing. </w:t>
        </w:r>
      </w:hyperlink>
      <w:hyperlink r:id="rId45">
        <w:r w:rsidR="00D84E6F">
          <w:rPr>
            <w:i/>
          </w:rPr>
          <w:t>Am Polit Sci Rev</w:t>
        </w:r>
      </w:hyperlink>
      <w:hyperlink r:id="rId46">
        <w:r w:rsidR="00D84E6F">
          <w:t>. 2020;114(3):619-637. doi:10.1017/S0003055420000039</w:t>
        </w:r>
      </w:hyperlink>
    </w:p>
    <w:p w14:paraId="4986ED1A"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47">
        <w:r w:rsidR="00D84E6F">
          <w:t>5.</w:t>
        </w:r>
        <w:r w:rsidR="00D84E6F">
          <w:tab/>
          <w:t xml:space="preserve">Edwards F, Lee H, Esposito M. Risk of being killed by police use of force in the United States by age, race–ethnicity, and sex. </w:t>
        </w:r>
      </w:hyperlink>
      <w:hyperlink r:id="rId48">
        <w:r w:rsidR="00D84E6F">
          <w:rPr>
            <w:i/>
          </w:rPr>
          <w:t>Proceedings of the National Academy of Sciences</w:t>
        </w:r>
      </w:hyperlink>
      <w:hyperlink r:id="rId49">
        <w:r w:rsidR="00D84E6F">
          <w:t>. 2019;116(34):16793-16798. doi:10.1073/pnas.1821204116</w:t>
        </w:r>
      </w:hyperlink>
    </w:p>
    <w:p w14:paraId="5842E03A"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0">
        <w:r w:rsidR="00D84E6F">
          <w:t>6.</w:t>
        </w:r>
        <w:r w:rsidR="00D84E6F">
          <w:tab/>
          <w:t xml:space="preserve">Bui AL, Coates MM, </w:t>
        </w:r>
        <w:proofErr w:type="spellStart"/>
        <w:r w:rsidR="00D84E6F">
          <w:t>Matthay</w:t>
        </w:r>
        <w:proofErr w:type="spellEnd"/>
        <w:r w:rsidR="00D84E6F">
          <w:t xml:space="preserve"> EC. Years of life lost due to encounters with law enforcement in the USA 2015–2016. </w:t>
        </w:r>
      </w:hyperlink>
      <w:hyperlink r:id="rId51">
        <w:r w:rsidR="00D84E6F">
          <w:rPr>
            <w:i/>
          </w:rPr>
          <w:t>J Epidemiol Community Health</w:t>
        </w:r>
      </w:hyperlink>
      <w:hyperlink r:id="rId52">
        <w:r w:rsidR="00D84E6F">
          <w:t>. 2018;72(8):715-718. doi:10.1136/jech-2017-210059</w:t>
        </w:r>
      </w:hyperlink>
    </w:p>
    <w:p w14:paraId="18A0EC7C"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3">
        <w:r w:rsidR="00D84E6F">
          <w:t>7.</w:t>
        </w:r>
        <w:r w:rsidR="00D84E6F">
          <w:tab/>
          <w:t xml:space="preserve">Jacobs D, O’Brien RM. The Determinants of Deadly Force: A Structural Analysis of Police Violence. </w:t>
        </w:r>
      </w:hyperlink>
      <w:hyperlink r:id="rId54">
        <w:r w:rsidR="00D84E6F">
          <w:rPr>
            <w:i/>
          </w:rPr>
          <w:t>American Journal of Sociology</w:t>
        </w:r>
      </w:hyperlink>
      <w:hyperlink r:id="rId55">
        <w:r w:rsidR="00D84E6F">
          <w:t>. 1998;103(4):837-862. doi:10.1086/231291</w:t>
        </w:r>
      </w:hyperlink>
    </w:p>
    <w:p w14:paraId="709D1B99"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6">
        <w:r w:rsidR="00D84E6F">
          <w:t>8.</w:t>
        </w:r>
        <w:r w:rsidR="00D84E6F">
          <w:tab/>
          <w:t xml:space="preserve">Geller A, Fagan J, Tyler T, Link BG. Aggressive Policing and the Mental Health of Young Urban Men. </w:t>
        </w:r>
      </w:hyperlink>
      <w:hyperlink r:id="rId57">
        <w:r w:rsidR="00D84E6F">
          <w:rPr>
            <w:i/>
          </w:rPr>
          <w:t>Am J Public Health</w:t>
        </w:r>
      </w:hyperlink>
      <w:hyperlink r:id="rId58">
        <w:r w:rsidR="00D84E6F">
          <w:t>. 2014;104(12):2321-2327. doi:10.2105/AJPH.2014.302046</w:t>
        </w:r>
      </w:hyperlink>
    </w:p>
    <w:p w14:paraId="5638B28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59">
        <w:r w:rsidR="00D84E6F">
          <w:t>9.</w:t>
        </w:r>
        <w:r w:rsidR="00D84E6F">
          <w:tab/>
        </w:r>
        <w:proofErr w:type="spellStart"/>
        <w:r w:rsidR="00D84E6F">
          <w:t>Alang</w:t>
        </w:r>
        <w:proofErr w:type="spellEnd"/>
        <w:r w:rsidR="00D84E6F">
          <w:t xml:space="preserve"> S, McAlpine D, McClain M. Police Encounters as Stressors: Associations with Depression and Anxiety across Race. </w:t>
        </w:r>
      </w:hyperlink>
      <w:hyperlink r:id="rId60">
        <w:r w:rsidR="00D84E6F">
          <w:rPr>
            <w:i/>
          </w:rPr>
          <w:t>Socius</w:t>
        </w:r>
      </w:hyperlink>
      <w:hyperlink r:id="rId61">
        <w:r w:rsidR="00D84E6F">
          <w:t xml:space="preserve">. </w:t>
        </w:r>
        <w:proofErr w:type="gramStart"/>
        <w:r w:rsidR="00D84E6F">
          <w:t>2021;7:1</w:t>
        </w:r>
        <w:proofErr w:type="gramEnd"/>
        <w:r w:rsidR="00D84E6F">
          <w:t xml:space="preserve">-13. </w:t>
        </w:r>
        <w:proofErr w:type="spellStart"/>
        <w:proofErr w:type="gramStart"/>
        <w:r w:rsidR="00D84E6F">
          <w:t>doi:https</w:t>
        </w:r>
        <w:proofErr w:type="spellEnd"/>
        <w:r w:rsidR="00D84E6F">
          <w:t>://doi.org/10.1177/2378023121998128</w:t>
        </w:r>
        <w:proofErr w:type="gramEnd"/>
      </w:hyperlink>
    </w:p>
    <w:p w14:paraId="58256E8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2">
        <w:r w:rsidR="00D84E6F">
          <w:t>10.</w:t>
        </w:r>
        <w:r w:rsidR="00D84E6F">
          <w:tab/>
          <w:t xml:space="preserve">Salas-Hernández L, </w:t>
        </w:r>
        <w:proofErr w:type="spellStart"/>
        <w:r w:rsidR="00D84E6F">
          <w:t>DeVylder</w:t>
        </w:r>
        <w:proofErr w:type="spellEnd"/>
        <w:r w:rsidR="00D84E6F">
          <w:t xml:space="preserve"> JE, Cooper HLF, et al. Latent Class Profiles of Police Violence Exposure in 4 US Cities and Their Associations with Anticipation of Police Violence and Mental Health Outcomes. </w:t>
        </w:r>
      </w:hyperlink>
      <w:hyperlink r:id="rId63">
        <w:r w:rsidR="00D84E6F">
          <w:rPr>
            <w:i/>
          </w:rPr>
          <w:t>J Urban Health</w:t>
        </w:r>
      </w:hyperlink>
      <w:hyperlink r:id="rId64">
        <w:r w:rsidR="00D84E6F">
          <w:t>. 2022;99(4):655-668. doi:10.1007/s11524-022-00643-5</w:t>
        </w:r>
      </w:hyperlink>
    </w:p>
    <w:p w14:paraId="2F0F4069"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5">
        <w:r w:rsidR="00D84E6F">
          <w:t>11.</w:t>
        </w:r>
        <w:r w:rsidR="00D84E6F">
          <w:tab/>
        </w:r>
        <w:proofErr w:type="spellStart"/>
        <w:r w:rsidR="00D84E6F">
          <w:t>Bor</w:t>
        </w:r>
        <w:proofErr w:type="spellEnd"/>
        <w:r w:rsidR="00D84E6F">
          <w:t xml:space="preserve"> J, </w:t>
        </w:r>
        <w:proofErr w:type="spellStart"/>
        <w:r w:rsidR="00D84E6F">
          <w:t>Venkataramani</w:t>
        </w:r>
        <w:proofErr w:type="spellEnd"/>
        <w:r w:rsidR="00D84E6F">
          <w:t xml:space="preserve"> AS, Williams DR, Tsai AC. Police killings and their spillover effects on the mental health of black Americans: a population-based, quasi-experimental study. </w:t>
        </w:r>
      </w:hyperlink>
      <w:hyperlink r:id="rId66">
        <w:r w:rsidR="00D84E6F">
          <w:rPr>
            <w:i/>
          </w:rPr>
          <w:t>Lancet</w:t>
        </w:r>
      </w:hyperlink>
      <w:hyperlink r:id="rId67">
        <w:r w:rsidR="00D84E6F">
          <w:t>. 2018;392(10144):302-310. doi:10.1016/S0140-6736(18)31130-9</w:t>
        </w:r>
      </w:hyperlink>
    </w:p>
    <w:p w14:paraId="7726DB8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68">
        <w:r w:rsidR="00D84E6F">
          <w:t>12.</w:t>
        </w:r>
        <w:r w:rsidR="00D84E6F">
          <w:tab/>
          <w:t xml:space="preserve">Nguyen TT, Criss S, Michaels EK, et al. Progress and push-back: How the killings of </w:t>
        </w:r>
        <w:proofErr w:type="spellStart"/>
        <w:r w:rsidR="00D84E6F">
          <w:t>Ahmaud</w:t>
        </w:r>
        <w:proofErr w:type="spellEnd"/>
        <w:r w:rsidR="00D84E6F">
          <w:t xml:space="preserve"> </w:t>
        </w:r>
        <w:proofErr w:type="spellStart"/>
        <w:r w:rsidR="00D84E6F">
          <w:t>Arbery</w:t>
        </w:r>
        <w:proofErr w:type="spellEnd"/>
        <w:r w:rsidR="00D84E6F">
          <w:t xml:space="preserve">, Breonna Taylor, and George Floyd impacted public discourse on race and racism on Twitter. </w:t>
        </w:r>
      </w:hyperlink>
      <w:hyperlink r:id="rId69">
        <w:r w:rsidR="00D84E6F">
          <w:rPr>
            <w:i/>
          </w:rPr>
          <w:t>SSM - Population Health</w:t>
        </w:r>
      </w:hyperlink>
      <w:hyperlink r:id="rId70">
        <w:r w:rsidR="00D84E6F">
          <w:t xml:space="preserve">. </w:t>
        </w:r>
        <w:proofErr w:type="gramStart"/>
        <w:r w:rsidR="00D84E6F">
          <w:t>2021;15:100922</w:t>
        </w:r>
        <w:proofErr w:type="gramEnd"/>
        <w:r w:rsidR="00D84E6F">
          <w:t xml:space="preserve">. </w:t>
        </w:r>
        <w:proofErr w:type="gramStart"/>
        <w:r w:rsidR="00D84E6F">
          <w:t>doi:10.1016/j.ssmph</w:t>
        </w:r>
        <w:proofErr w:type="gramEnd"/>
        <w:r w:rsidR="00D84E6F">
          <w:t>.2021.100922</w:t>
        </w:r>
      </w:hyperlink>
    </w:p>
    <w:p w14:paraId="28C0ACA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1">
        <w:r w:rsidR="00D84E6F">
          <w:t>13.</w:t>
        </w:r>
        <w:r w:rsidR="00D84E6F">
          <w:tab/>
          <w:t xml:space="preserve">Eichstaedt JC, Sherman GT, Giorgi S, et al. The emotional and mental health impact of the murder of George Floyd on the US population. </w:t>
        </w:r>
      </w:hyperlink>
      <w:hyperlink r:id="rId72">
        <w:r w:rsidR="00D84E6F">
          <w:rPr>
            <w:i/>
          </w:rPr>
          <w:t>Proceedings of the National Academy of Sciences</w:t>
        </w:r>
      </w:hyperlink>
      <w:hyperlink r:id="rId73">
        <w:r w:rsidR="00D84E6F">
          <w:t>. 2021;118(39</w:t>
        </w:r>
        <w:proofErr w:type="gramStart"/>
        <w:r w:rsidR="00D84E6F">
          <w:t>):e</w:t>
        </w:r>
        <w:proofErr w:type="gramEnd"/>
        <w:r w:rsidR="00D84E6F">
          <w:t>2109139118. doi:10.1073/pnas.2109139118</w:t>
        </w:r>
      </w:hyperlink>
    </w:p>
    <w:p w14:paraId="02AC37A5"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4">
        <w:r w:rsidR="00D84E6F">
          <w:t>14.</w:t>
        </w:r>
        <w:r w:rsidR="00D84E6F">
          <w:tab/>
          <w:t xml:space="preserve">Pickett JT, Graham A, Cullen FT. The American racial divide in fear of the police. </w:t>
        </w:r>
      </w:hyperlink>
      <w:hyperlink r:id="rId75">
        <w:r w:rsidR="00D84E6F">
          <w:rPr>
            <w:i/>
          </w:rPr>
          <w:t>Criminology</w:t>
        </w:r>
      </w:hyperlink>
      <w:hyperlink r:id="rId76">
        <w:r w:rsidR="00D84E6F">
          <w:t>. 2022;60(2):291-320. doi:10.1111/1745-9125.12298</w:t>
        </w:r>
      </w:hyperlink>
    </w:p>
    <w:p w14:paraId="23DF7887"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77">
        <w:r w:rsidR="00D84E6F">
          <w:t>15.</w:t>
        </w:r>
        <w:r w:rsidR="00D84E6F">
          <w:tab/>
          <w:t xml:space="preserve">McLeod MN, Heller D, </w:t>
        </w:r>
        <w:proofErr w:type="spellStart"/>
        <w:r w:rsidR="00D84E6F">
          <w:t>Manze</w:t>
        </w:r>
        <w:proofErr w:type="spellEnd"/>
        <w:r w:rsidR="00D84E6F">
          <w:t xml:space="preserve"> MG, Echeverria SE. Police Interactions and the Mental Health of Black Americans: a Systematic Review. </w:t>
        </w:r>
      </w:hyperlink>
      <w:hyperlink r:id="rId78">
        <w:r w:rsidR="00D84E6F">
          <w:rPr>
            <w:i/>
          </w:rPr>
          <w:t xml:space="preserve">J Racial </w:t>
        </w:r>
        <w:proofErr w:type="spellStart"/>
        <w:r w:rsidR="00D84E6F">
          <w:rPr>
            <w:i/>
          </w:rPr>
          <w:t>Ethn</w:t>
        </w:r>
        <w:proofErr w:type="spellEnd"/>
        <w:r w:rsidR="00D84E6F">
          <w:rPr>
            <w:i/>
          </w:rPr>
          <w:t xml:space="preserve"> Health Disparities</w:t>
        </w:r>
      </w:hyperlink>
      <w:hyperlink r:id="rId79">
        <w:r w:rsidR="00D84E6F">
          <w:t>. 2020;7(1):10-27. doi:10.1007/s40615-019-00629-1</w:t>
        </w:r>
      </w:hyperlink>
    </w:p>
    <w:p w14:paraId="4F1FA6BD"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0">
        <w:r w:rsidR="00D84E6F">
          <w:t>16.</w:t>
        </w:r>
        <w:r w:rsidR="00D84E6F">
          <w:tab/>
          <w:t>Haile R, Rowell-</w:t>
        </w:r>
        <w:proofErr w:type="spellStart"/>
        <w:r w:rsidR="00D84E6F">
          <w:t>Cunsolo</w:t>
        </w:r>
        <w:proofErr w:type="spellEnd"/>
        <w:r w:rsidR="00D84E6F">
          <w:t xml:space="preserve"> T, Hyacinthe MF, </w:t>
        </w:r>
        <w:proofErr w:type="spellStart"/>
        <w:r w:rsidR="00D84E6F">
          <w:t>Alang</w:t>
        </w:r>
        <w:proofErr w:type="spellEnd"/>
        <w:r w:rsidR="00D84E6F">
          <w:t xml:space="preserve"> S. “We (still) charge genocide”: A systematic review and synthesis of the direct and indirect health consequences of police violence in the United States. </w:t>
        </w:r>
      </w:hyperlink>
      <w:hyperlink r:id="rId81">
        <w:r w:rsidR="00D84E6F">
          <w:rPr>
            <w:i/>
          </w:rPr>
          <w:t>Social Science &amp; Medicine</w:t>
        </w:r>
      </w:hyperlink>
      <w:hyperlink r:id="rId82">
        <w:r w:rsidR="00D84E6F">
          <w:t xml:space="preserve">. </w:t>
        </w:r>
        <w:proofErr w:type="gramStart"/>
        <w:r w:rsidR="00D84E6F">
          <w:t>2023;322:115784</w:t>
        </w:r>
        <w:proofErr w:type="gramEnd"/>
        <w:r w:rsidR="00D84E6F">
          <w:t xml:space="preserve">. </w:t>
        </w:r>
        <w:proofErr w:type="gramStart"/>
        <w:r w:rsidR="00D84E6F">
          <w:t>doi:10.1016/j.socscimed</w:t>
        </w:r>
        <w:proofErr w:type="gramEnd"/>
        <w:r w:rsidR="00D84E6F">
          <w:t>.2023.115784</w:t>
        </w:r>
      </w:hyperlink>
    </w:p>
    <w:p w14:paraId="0C4C8D62"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3">
        <w:r w:rsidR="00D84E6F">
          <w:t>17.</w:t>
        </w:r>
        <w:r w:rsidR="00D84E6F">
          <w:tab/>
        </w:r>
      </w:hyperlink>
      <w:hyperlink r:id="rId84">
        <w:r w:rsidR="00D84E6F">
          <w:rPr>
            <w:i/>
          </w:rPr>
          <w:t>ICD-10 Mental Health Billable Diagnosis Codes in Alphabetical Order by Description</w:t>
        </w:r>
      </w:hyperlink>
      <w:hyperlink r:id="rId85">
        <w:r w:rsidR="00D84E6F">
          <w:t>.; 2017. https://www.dhs.state.mn.us/main/groups/agencywide/documents/pub/dhs16_197744.pdf</w:t>
        </w:r>
      </w:hyperlink>
    </w:p>
    <w:p w14:paraId="6FD8B194"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6">
        <w:r w:rsidR="00D84E6F">
          <w:t>18.</w:t>
        </w:r>
        <w:r w:rsidR="00D84E6F">
          <w:tab/>
          <w:t>Walker K, Herman M, Eberwein K. tidycensus: Load US Census Boundary and Attribute Data as “tidyverse” and ’sf’-Ready Data Frames. Published online January 30, 2023. Accessed April 14, 2023. https://CRAN.R-project.org/package=tidycensus</w:t>
        </w:r>
      </w:hyperlink>
    </w:p>
    <w:p w14:paraId="672177D2"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87">
        <w:r w:rsidR="00D84E6F">
          <w:t>19.</w:t>
        </w:r>
        <w:r w:rsidR="00D84E6F">
          <w:tab/>
          <w:t xml:space="preserve">Sampson RJ, </w:t>
        </w:r>
        <w:proofErr w:type="spellStart"/>
        <w:r w:rsidR="00D84E6F">
          <w:t>Raudenbush</w:t>
        </w:r>
        <w:proofErr w:type="spellEnd"/>
        <w:r w:rsidR="00D84E6F">
          <w:t xml:space="preserve"> SW, Earls F. Neighborhoods and Violent Crime: A Multilevel Study of Collective Efficacy. </w:t>
        </w:r>
      </w:hyperlink>
      <w:hyperlink r:id="rId88">
        <w:r w:rsidR="00D84E6F">
          <w:rPr>
            <w:i/>
          </w:rPr>
          <w:t>Science, New Series</w:t>
        </w:r>
      </w:hyperlink>
      <w:hyperlink r:id="rId89">
        <w:r w:rsidR="00D84E6F">
          <w:t>. 1997;277(5328):918-924. doi:10.1126/science.277.5328.918</w:t>
        </w:r>
      </w:hyperlink>
    </w:p>
    <w:p w14:paraId="09FE9347"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0">
        <w:r w:rsidR="00D84E6F">
          <w:t>20.</w:t>
        </w:r>
        <w:r w:rsidR="00D84E6F">
          <w:tab/>
        </w:r>
        <w:proofErr w:type="spellStart"/>
        <w:r w:rsidR="00D84E6F">
          <w:t>Wodtke</w:t>
        </w:r>
        <w:proofErr w:type="spellEnd"/>
        <w:r w:rsidR="00D84E6F">
          <w:t xml:space="preserve"> GT, Harding DJ, </w:t>
        </w:r>
        <w:proofErr w:type="spellStart"/>
        <w:r w:rsidR="00D84E6F">
          <w:t>Elwert</w:t>
        </w:r>
        <w:proofErr w:type="spellEnd"/>
        <w:r w:rsidR="00D84E6F">
          <w:t xml:space="preserve"> F. Neighborhood Effects in Temporal Perspective: The Impact of Long-Term Exposure to Concentrated Disadvantage on High School Graduation. </w:t>
        </w:r>
      </w:hyperlink>
      <w:hyperlink r:id="rId91">
        <w:r w:rsidR="00D84E6F">
          <w:rPr>
            <w:i/>
          </w:rPr>
          <w:t xml:space="preserve">Am </w:t>
        </w:r>
        <w:proofErr w:type="spellStart"/>
        <w:r w:rsidR="00D84E6F">
          <w:rPr>
            <w:i/>
          </w:rPr>
          <w:t>Sociol</w:t>
        </w:r>
        <w:proofErr w:type="spellEnd"/>
        <w:r w:rsidR="00D84E6F">
          <w:rPr>
            <w:i/>
          </w:rPr>
          <w:t xml:space="preserve"> Rev</w:t>
        </w:r>
      </w:hyperlink>
      <w:hyperlink r:id="rId92">
        <w:r w:rsidR="00D84E6F">
          <w:t>. 2011;76(5):713-736. doi:10.1177/0003122411420816</w:t>
        </w:r>
      </w:hyperlink>
    </w:p>
    <w:p w14:paraId="0664B20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3">
        <w:r w:rsidR="00D84E6F">
          <w:t>21.</w:t>
        </w:r>
        <w:r w:rsidR="00D84E6F">
          <w:tab/>
          <w:t xml:space="preserve">Lash TL. The Harm Done to Reproducibility by the Culture of Null Hypothesis Significance Testing. </w:t>
        </w:r>
      </w:hyperlink>
      <w:hyperlink r:id="rId94">
        <w:r w:rsidR="00D84E6F">
          <w:rPr>
            <w:i/>
          </w:rPr>
          <w:t>American Journal of Epidemiology</w:t>
        </w:r>
      </w:hyperlink>
      <w:hyperlink r:id="rId95">
        <w:r w:rsidR="00D84E6F">
          <w:t>. 2017;186(6):627-635. doi:10.1093/</w:t>
        </w:r>
        <w:proofErr w:type="spellStart"/>
        <w:r w:rsidR="00D84E6F">
          <w:t>aje</w:t>
        </w:r>
        <w:proofErr w:type="spellEnd"/>
        <w:r w:rsidR="00D84E6F">
          <w:t>/kwx261</w:t>
        </w:r>
      </w:hyperlink>
    </w:p>
    <w:p w14:paraId="600FA3D1"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6">
        <w:r w:rsidR="00D84E6F">
          <w:t>22.</w:t>
        </w:r>
        <w:r w:rsidR="00D84E6F">
          <w:tab/>
          <w:t xml:space="preserve">Bailey ZD, Krieger N, </w:t>
        </w:r>
        <w:proofErr w:type="spellStart"/>
        <w:r w:rsidR="00D84E6F">
          <w:t>Agénor</w:t>
        </w:r>
        <w:proofErr w:type="spellEnd"/>
        <w:r w:rsidR="00D84E6F">
          <w:t xml:space="preserve"> M, Graves J, </w:t>
        </w:r>
        <w:proofErr w:type="spellStart"/>
        <w:r w:rsidR="00D84E6F">
          <w:t>Linos</w:t>
        </w:r>
        <w:proofErr w:type="spellEnd"/>
        <w:r w:rsidR="00D84E6F">
          <w:t xml:space="preserve"> N, Bassett MT. Structural racism and health inequities in the USA: evidence and interventions. </w:t>
        </w:r>
      </w:hyperlink>
      <w:hyperlink r:id="rId97">
        <w:r w:rsidR="00D84E6F">
          <w:rPr>
            <w:i/>
          </w:rPr>
          <w:t>The Lancet</w:t>
        </w:r>
      </w:hyperlink>
      <w:hyperlink r:id="rId98">
        <w:r w:rsidR="00D84E6F">
          <w:t>. 2017;389(10077):1453-1463. doi:10.1016/S0140-6736(17)30569-X</w:t>
        </w:r>
      </w:hyperlink>
    </w:p>
    <w:p w14:paraId="530C75D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99">
        <w:r w:rsidR="00D84E6F">
          <w:t>23.</w:t>
        </w:r>
        <w:r w:rsidR="00D84E6F">
          <w:tab/>
          <w:t xml:space="preserve">Phelan JC, Link BG. Is Racism a Fundamental Cause of Inequalities in Health? </w:t>
        </w:r>
      </w:hyperlink>
      <w:hyperlink r:id="rId100">
        <w:r w:rsidR="00D84E6F">
          <w:rPr>
            <w:i/>
          </w:rPr>
          <w:t xml:space="preserve">Annu Rev </w:t>
        </w:r>
        <w:proofErr w:type="spellStart"/>
        <w:r w:rsidR="00D84E6F">
          <w:rPr>
            <w:i/>
          </w:rPr>
          <w:t>Sociol</w:t>
        </w:r>
        <w:proofErr w:type="spellEnd"/>
      </w:hyperlink>
      <w:hyperlink r:id="rId101">
        <w:r w:rsidR="00D84E6F">
          <w:t>. 2015;41(1):311-330. doi:10.1146/annurev-soc-073014-112305</w:t>
        </w:r>
      </w:hyperlink>
    </w:p>
    <w:p w14:paraId="2012C9E6"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2">
        <w:r w:rsidR="00D84E6F">
          <w:t>24.</w:t>
        </w:r>
        <w:r w:rsidR="00D84E6F">
          <w:tab/>
        </w:r>
        <w:proofErr w:type="spellStart"/>
        <w:r w:rsidR="00D84E6F">
          <w:t>Soss</w:t>
        </w:r>
        <w:proofErr w:type="spellEnd"/>
        <w:r w:rsidR="00D84E6F">
          <w:t xml:space="preserve"> J, Weaver V. Police Are Our Government: Politics, Political Science, and the Policing of Race–Class Subjugated Communities. </w:t>
        </w:r>
      </w:hyperlink>
      <w:hyperlink r:id="rId103">
        <w:r w:rsidR="00D84E6F">
          <w:rPr>
            <w:i/>
          </w:rPr>
          <w:t>Annual Review of Political Science</w:t>
        </w:r>
      </w:hyperlink>
      <w:hyperlink r:id="rId104">
        <w:r w:rsidR="00D84E6F">
          <w:t>. 2017;20(1):565-591. doi:10.1146/annurev-polisci-060415-093825</w:t>
        </w:r>
      </w:hyperlink>
    </w:p>
    <w:p w14:paraId="0BD846E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5">
        <w:r w:rsidR="00D84E6F">
          <w:t>25.</w:t>
        </w:r>
        <w:r w:rsidR="00D84E6F">
          <w:tab/>
          <w:t xml:space="preserve">Onwuachi-Willig A. The Trauma of the Routine: Lessons on Cultural Trauma from the Emmett Till Verdict. </w:t>
        </w:r>
      </w:hyperlink>
      <w:hyperlink r:id="rId106">
        <w:r w:rsidR="00D84E6F">
          <w:rPr>
            <w:i/>
          </w:rPr>
          <w:t>Sociological Theory</w:t>
        </w:r>
      </w:hyperlink>
      <w:hyperlink r:id="rId107">
        <w:r w:rsidR="00D84E6F">
          <w:t>. 2016;34(4):335-357. doi:10.1177/0735275116679864</w:t>
        </w:r>
      </w:hyperlink>
    </w:p>
    <w:p w14:paraId="03242D23"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08">
        <w:r w:rsidR="00D84E6F">
          <w:t>26.</w:t>
        </w:r>
        <w:r w:rsidR="00D84E6F">
          <w:tab/>
        </w:r>
        <w:proofErr w:type="spellStart"/>
        <w:r w:rsidR="00D84E6F">
          <w:t>Alang</w:t>
        </w:r>
        <w:proofErr w:type="spellEnd"/>
        <w:r w:rsidR="00D84E6F">
          <w:t xml:space="preserve"> S, McAlpine DD, Hardeman R. Police Brutality and Mistrust in Medical Institutions. </w:t>
        </w:r>
      </w:hyperlink>
      <w:hyperlink r:id="rId109">
        <w:r w:rsidR="00D84E6F">
          <w:rPr>
            <w:i/>
          </w:rPr>
          <w:t xml:space="preserve">J Racial </w:t>
        </w:r>
        <w:proofErr w:type="spellStart"/>
        <w:r w:rsidR="00D84E6F">
          <w:rPr>
            <w:i/>
          </w:rPr>
          <w:t>Ethn</w:t>
        </w:r>
        <w:proofErr w:type="spellEnd"/>
        <w:r w:rsidR="00D84E6F">
          <w:rPr>
            <w:i/>
          </w:rPr>
          <w:t xml:space="preserve"> Health Disparities</w:t>
        </w:r>
      </w:hyperlink>
      <w:hyperlink r:id="rId110">
        <w:r w:rsidR="00D84E6F">
          <w:t>. 2020;7(4):760-768. doi:10.1007/s40615-020-00706-w</w:t>
        </w:r>
      </w:hyperlink>
    </w:p>
    <w:p w14:paraId="1DE453CF" w14:textId="77777777" w:rsidR="00A71F21"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b/>
        </w:rPr>
      </w:pPr>
      <w:hyperlink r:id="rId111">
        <w:r w:rsidR="00D84E6F">
          <w:t>27.</w:t>
        </w:r>
        <w:r w:rsidR="00D84E6F">
          <w:tab/>
        </w:r>
        <w:proofErr w:type="spellStart"/>
        <w:r w:rsidR="00D84E6F">
          <w:t>Birong</w:t>
        </w:r>
        <w:proofErr w:type="spellEnd"/>
        <w:r w:rsidR="00D84E6F">
          <w:t xml:space="preserve"> C. </w:t>
        </w:r>
      </w:hyperlink>
      <w:hyperlink r:id="rId112">
        <w:r w:rsidR="00D84E6F">
          <w:rPr>
            <w:i/>
          </w:rPr>
          <w:t>The Influence of Police Brutality on the American Indian Movement’s Establishment in Minneapolis, 1968-1969</w:t>
        </w:r>
      </w:hyperlink>
      <w:hyperlink r:id="rId113">
        <w:r w:rsidR="00D84E6F">
          <w:t>. University of Arizona.</w:t>
        </w:r>
      </w:hyperlink>
    </w:p>
    <w:p w14:paraId="5B6FF99A" w14:textId="77777777" w:rsidR="00A71F21" w:rsidRDefault="00A71F21">
      <w:pPr>
        <w:spacing w:before="120" w:after="360"/>
        <w:rPr>
          <w:rFonts w:ascii="Times New Roman" w:eastAsia="Times New Roman" w:hAnsi="Times New Roman" w:cs="Times New Roman"/>
          <w:b/>
        </w:rPr>
      </w:pPr>
    </w:p>
    <w:p w14:paraId="71C76BC6" w14:textId="77777777" w:rsidR="00A71F21" w:rsidRDefault="00A71F21">
      <w:pPr>
        <w:spacing w:before="120" w:after="360"/>
        <w:rPr>
          <w:rFonts w:ascii="Times New Roman" w:eastAsia="Times New Roman" w:hAnsi="Times New Roman" w:cs="Times New Roman"/>
          <w:b/>
        </w:rPr>
      </w:pPr>
    </w:p>
    <w:p w14:paraId="0A7E7B2D"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t>Figures and Tables</w:t>
      </w:r>
    </w:p>
    <w:p w14:paraId="314824B9"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2FECFDAC" wp14:editId="31CC8BCC">
            <wp:extent cx="5943600" cy="3670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4"/>
                    <a:srcRect/>
                    <a:stretch>
                      <a:fillRect/>
                    </a:stretch>
                  </pic:blipFill>
                  <pic:spPr>
                    <a:xfrm>
                      <a:off x="0" y="0"/>
                      <a:ext cx="5943600" cy="3670300"/>
                    </a:xfrm>
                    <a:prstGeom prst="rect">
                      <a:avLst/>
                    </a:prstGeom>
                    <a:ln/>
                  </pic:spPr>
                </pic:pic>
              </a:graphicData>
            </a:graphic>
          </wp:inline>
        </w:drawing>
      </w:r>
    </w:p>
    <w:p w14:paraId="14689CC9" w14:textId="0C538431" w:rsidR="00565942"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F1BE28F" wp14:editId="3BCF4C6F">
            <wp:extent cx="5943600" cy="3670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5"/>
                    <a:srcRect/>
                    <a:stretch>
                      <a:fillRect/>
                    </a:stretch>
                  </pic:blipFill>
                  <pic:spPr>
                    <a:xfrm>
                      <a:off x="0" y="0"/>
                      <a:ext cx="5943600" cy="3670300"/>
                    </a:xfrm>
                    <a:prstGeom prst="rect">
                      <a:avLst/>
                    </a:prstGeom>
                    <a:ln/>
                  </pic:spPr>
                </pic:pic>
              </a:graphicData>
            </a:graphic>
          </wp:inline>
        </w:drawing>
      </w:r>
    </w:p>
    <w:p w14:paraId="4A6C9BDB" w14:textId="4ACBA62A" w:rsidR="00A71F21" w:rsidRDefault="00565942">
      <w:pPr>
        <w:spacing w:before="120" w:after="360"/>
        <w:rPr>
          <w:rFonts w:ascii="Times New Roman" w:eastAsia="Times New Roman" w:hAnsi="Times New Roman" w:cs="Times New Roman"/>
          <w:b/>
        </w:rPr>
      </w:pPr>
      <w:r>
        <w:rPr>
          <w:noProof/>
        </w:rPr>
        <w:lastRenderedPageBreak/>
        <w:drawing>
          <wp:inline distT="0" distB="0" distL="0" distR="0" wp14:anchorId="0069F5D7" wp14:editId="29884077">
            <wp:extent cx="5943600" cy="804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943600" cy="8046085"/>
                    </a:xfrm>
                    <a:prstGeom prst="rect">
                      <a:avLst/>
                    </a:prstGeom>
                  </pic:spPr>
                </pic:pic>
              </a:graphicData>
            </a:graphic>
          </wp:inline>
        </w:drawing>
      </w:r>
    </w:p>
    <w:p w14:paraId="01B2877B" w14:textId="483C5385" w:rsidR="00E56CE5" w:rsidRDefault="00E56CE5">
      <w:pPr>
        <w:spacing w:before="120" w:after="360"/>
        <w:rPr>
          <w:rFonts w:ascii="Times New Roman" w:eastAsia="Times New Roman" w:hAnsi="Times New Roman" w:cs="Times New Roman"/>
          <w:b/>
        </w:rPr>
      </w:pPr>
      <w:r>
        <w:rPr>
          <w:noProof/>
        </w:rPr>
        <w:lastRenderedPageBreak/>
        <w:drawing>
          <wp:inline distT="0" distB="0" distL="0" distR="0" wp14:anchorId="4D5CEC4F" wp14:editId="6A8CB9D5">
            <wp:extent cx="5943600" cy="6373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943600" cy="6373495"/>
                    </a:xfrm>
                    <a:prstGeom prst="rect">
                      <a:avLst/>
                    </a:prstGeom>
                  </pic:spPr>
                </pic:pic>
              </a:graphicData>
            </a:graphic>
          </wp:inline>
        </w:drawing>
      </w:r>
    </w:p>
    <w:p w14:paraId="43A40244" w14:textId="6414A794" w:rsidR="00A71F21" w:rsidRDefault="00A71F21">
      <w:pPr>
        <w:spacing w:before="120" w:after="360"/>
        <w:rPr>
          <w:rFonts w:ascii="Times New Roman" w:eastAsia="Times New Roman" w:hAnsi="Times New Roman" w:cs="Times New Roman"/>
          <w:b/>
        </w:rPr>
      </w:pPr>
    </w:p>
    <w:p w14:paraId="05F7BF27" w14:textId="18135B0B" w:rsidR="00A71F21" w:rsidRDefault="0047141B">
      <w:pPr>
        <w:spacing w:before="120" w:after="360"/>
        <w:rPr>
          <w:rFonts w:ascii="Times New Roman" w:eastAsia="Times New Roman" w:hAnsi="Times New Roman" w:cs="Times New Roman"/>
          <w:b/>
        </w:rPr>
      </w:pPr>
      <w:r w:rsidRPr="0047141B">
        <w:rPr>
          <w:noProof/>
        </w:rPr>
        <w:lastRenderedPageBreak/>
        <w:drawing>
          <wp:inline distT="0" distB="0" distL="0" distR="0" wp14:anchorId="39987BCE" wp14:editId="498355AF">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943600" cy="4457700"/>
                    </a:xfrm>
                    <a:prstGeom prst="rect">
                      <a:avLst/>
                    </a:prstGeom>
                  </pic:spPr>
                </pic:pic>
              </a:graphicData>
            </a:graphic>
          </wp:inline>
        </w:drawing>
      </w:r>
    </w:p>
    <w:p w14:paraId="0C6CE37C" w14:textId="77777777" w:rsidR="00A71F21" w:rsidRDefault="00D84E6F">
      <w:pPr>
        <w:spacing w:before="120" w:after="360"/>
        <w:rPr>
          <w:rFonts w:ascii="Times New Roman" w:eastAsia="Times New Roman" w:hAnsi="Times New Roman" w:cs="Times New Roman"/>
          <w:b/>
        </w:rPr>
      </w:pPr>
      <w:r>
        <w:rPr>
          <w:rFonts w:ascii="Times New Roman" w:eastAsia="Times New Roman" w:hAnsi="Times New Roman" w:cs="Times New Roman"/>
          <w:b/>
        </w:rPr>
        <w:t>Appendix</w:t>
      </w:r>
    </w:p>
    <w:p w14:paraId="485FB4E2" w14:textId="77777777" w:rsidR="00A71F21" w:rsidRDefault="00D84E6F">
      <w:pPr>
        <w:spacing w:before="120" w:after="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39D9AC" wp14:editId="6260807C">
            <wp:extent cx="5943600" cy="1689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9"/>
                    <a:srcRect/>
                    <a:stretch>
                      <a:fillRect/>
                    </a:stretch>
                  </pic:blipFill>
                  <pic:spPr>
                    <a:xfrm>
                      <a:off x="0" y="0"/>
                      <a:ext cx="5943600" cy="1689100"/>
                    </a:xfrm>
                    <a:prstGeom prst="rect">
                      <a:avLst/>
                    </a:prstGeom>
                    <a:ln/>
                  </pic:spPr>
                </pic:pic>
              </a:graphicData>
            </a:graphic>
          </wp:inline>
        </w:drawing>
      </w:r>
    </w:p>
    <w:p w14:paraId="1AAB1BB8" w14:textId="77777777" w:rsidR="00A71F21" w:rsidRDefault="00A71F21">
      <w:pPr>
        <w:spacing w:before="120" w:after="360"/>
        <w:rPr>
          <w:rFonts w:ascii="Times New Roman" w:eastAsia="Times New Roman" w:hAnsi="Times New Roman" w:cs="Times New Roman"/>
          <w:b/>
        </w:rPr>
      </w:pPr>
    </w:p>
    <w:p w14:paraId="31531E9D" w14:textId="77777777" w:rsidR="00A71F21" w:rsidRDefault="00A71F21">
      <w:pPr>
        <w:spacing w:before="120" w:after="360"/>
        <w:rPr>
          <w:rFonts w:ascii="Times New Roman" w:eastAsia="Times New Roman" w:hAnsi="Times New Roman" w:cs="Times New Roman"/>
          <w:b/>
        </w:rPr>
      </w:pPr>
    </w:p>
    <w:p w14:paraId="5CCA2C6C" w14:textId="77777777" w:rsidR="00A71F21" w:rsidRDefault="00A71F21">
      <w:pPr>
        <w:spacing w:before="120" w:after="360"/>
        <w:rPr>
          <w:rFonts w:ascii="Times New Roman" w:eastAsia="Times New Roman" w:hAnsi="Times New Roman" w:cs="Times New Roman"/>
          <w:color w:val="FFFFFF"/>
          <w:u w:val="single"/>
        </w:rPr>
      </w:pPr>
    </w:p>
    <w:p w14:paraId="53171EB3" w14:textId="77777777" w:rsidR="00A71F21" w:rsidRDefault="00A71F21">
      <w:pPr>
        <w:rPr>
          <w:rFonts w:ascii="Times New Roman" w:eastAsia="Times New Roman" w:hAnsi="Times New Roman" w:cs="Times New Roman"/>
          <w:b/>
        </w:rPr>
      </w:pPr>
    </w:p>
    <w:sectPr w:rsidR="00A71F21">
      <w:headerReference w:type="default" r:id="rId1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2D8B" w14:textId="77777777" w:rsidR="002F4C22" w:rsidRDefault="002F4C22">
      <w:pPr>
        <w:spacing w:line="240" w:lineRule="auto"/>
      </w:pPr>
      <w:r>
        <w:separator/>
      </w:r>
    </w:p>
  </w:endnote>
  <w:endnote w:type="continuationSeparator" w:id="0">
    <w:p w14:paraId="463B221E" w14:textId="77777777" w:rsidR="002F4C22" w:rsidRDefault="002F4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5BB4" w14:textId="77777777" w:rsidR="002F4C22" w:rsidRDefault="002F4C22">
      <w:pPr>
        <w:spacing w:line="240" w:lineRule="auto"/>
      </w:pPr>
      <w:r>
        <w:separator/>
      </w:r>
    </w:p>
  </w:footnote>
  <w:footnote w:type="continuationSeparator" w:id="0">
    <w:p w14:paraId="25BAEBA5" w14:textId="77777777" w:rsidR="002F4C22" w:rsidRDefault="002F4C22">
      <w:pPr>
        <w:spacing w:line="240" w:lineRule="auto"/>
      </w:pPr>
      <w:r>
        <w:continuationSeparator/>
      </w:r>
    </w:p>
  </w:footnote>
  <w:footnote w:id="1">
    <w:p w14:paraId="739DC99F"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estimated a partial-autocorrelation function (PACF) on the residuals from models without the AR terms, which represent the autocorrelation present at each temporal lag, adjusted for the lags of smaller intervals. The PACF  indicated statistically significant autocorrelation up to lag = 3. Therefore we estimate AR(3) interrupted time series models in the final specifications, which account for the autocorrelation structure in the data. </w:t>
      </w:r>
    </w:p>
  </w:footnote>
  <w:footnote w:id="2">
    <w:p w14:paraId="074CCD94" w14:textId="77777777" w:rsidR="00A71F21" w:rsidRDefault="00D84E6F">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Although the </w:t>
      </w:r>
      <w:r>
        <w:rPr>
          <w:rFonts w:ascii="Times New Roman" w:eastAsia="Times New Roman" w:hAnsi="Times New Roman" w:cs="Times New Roman"/>
          <w:sz w:val="20"/>
          <w:szCs w:val="20"/>
        </w:rPr>
        <w:t>Latine post-killing effects tended to be less negative in areas of higher concentrated disadvantage (as depicted in Figure 5), all the estimated ZCTA-specific random coefficients for the Latine post-killing effect were negative in sign.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5EAFC" w14:textId="77777777" w:rsidR="00A71F21" w:rsidRDefault="00A71F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21"/>
    <w:rsid w:val="00056F32"/>
    <w:rsid w:val="00165A55"/>
    <w:rsid w:val="001F0580"/>
    <w:rsid w:val="002970A9"/>
    <w:rsid w:val="002F4C22"/>
    <w:rsid w:val="003470B0"/>
    <w:rsid w:val="00347C7A"/>
    <w:rsid w:val="003947B4"/>
    <w:rsid w:val="0047141B"/>
    <w:rsid w:val="004C4558"/>
    <w:rsid w:val="00565942"/>
    <w:rsid w:val="007143F2"/>
    <w:rsid w:val="007161DD"/>
    <w:rsid w:val="007345DD"/>
    <w:rsid w:val="007C49A4"/>
    <w:rsid w:val="007D69A8"/>
    <w:rsid w:val="008A0816"/>
    <w:rsid w:val="00A71F21"/>
    <w:rsid w:val="00AB0AAD"/>
    <w:rsid w:val="00B853C2"/>
    <w:rsid w:val="00BB63F0"/>
    <w:rsid w:val="00C44FBA"/>
    <w:rsid w:val="00D84E6F"/>
    <w:rsid w:val="00E56CE5"/>
    <w:rsid w:val="00F075DF"/>
    <w:rsid w:val="00F1276D"/>
    <w:rsid w:val="00F6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3B7E"/>
  <w15:docId w15:val="{69B36A29-3F38-4EC9-A8EB-8637E221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zotero.org/google-docs/?k9Ws4L" TargetMode="External"/><Relationship Id="rId117" Type="http://schemas.openxmlformats.org/officeDocument/2006/relationships/image" Target="media/image6.png"/><Relationship Id="rId21" Type="http://schemas.openxmlformats.org/officeDocument/2006/relationships/hyperlink" Target="https://www.zotero.org/google-docs/?DlTPwa" TargetMode="External"/><Relationship Id="rId42" Type="http://schemas.openxmlformats.org/officeDocument/2006/relationships/hyperlink" Target="https://www.zotero.org/google-docs/?Ei1tpa" TargetMode="External"/><Relationship Id="rId47" Type="http://schemas.openxmlformats.org/officeDocument/2006/relationships/hyperlink" Target="https://www.zotero.org/google-docs/?Ei1tpa" TargetMode="External"/><Relationship Id="rId63" Type="http://schemas.openxmlformats.org/officeDocument/2006/relationships/hyperlink" Target="https://www.zotero.org/google-docs/?Ei1tpa" TargetMode="External"/><Relationship Id="rId68" Type="http://schemas.openxmlformats.org/officeDocument/2006/relationships/hyperlink" Target="https://www.zotero.org/google-docs/?Ei1tpa" TargetMode="External"/><Relationship Id="rId84" Type="http://schemas.openxmlformats.org/officeDocument/2006/relationships/hyperlink" Target="https://www.zotero.org/google-docs/?Ei1tpa" TargetMode="External"/><Relationship Id="rId89" Type="http://schemas.openxmlformats.org/officeDocument/2006/relationships/hyperlink" Target="https://www.zotero.org/google-docs/?Ei1tpa" TargetMode="External"/><Relationship Id="rId112" Type="http://schemas.openxmlformats.org/officeDocument/2006/relationships/hyperlink" Target="https://www.zotero.org/google-docs/?Ei1tpa" TargetMode="External"/><Relationship Id="rId16" Type="http://schemas.openxmlformats.org/officeDocument/2006/relationships/hyperlink" Target="https://www.zotero.org/google-docs/?7PsYb4" TargetMode="External"/><Relationship Id="rId107" Type="http://schemas.openxmlformats.org/officeDocument/2006/relationships/hyperlink" Target="https://www.zotero.org/google-docs/?Ei1tpa" TargetMode="External"/><Relationship Id="rId11" Type="http://schemas.openxmlformats.org/officeDocument/2006/relationships/hyperlink" Target="https://www.zotero.org/google-docs/?DjOmSG" TargetMode="External"/><Relationship Id="rId32" Type="http://schemas.openxmlformats.org/officeDocument/2006/relationships/hyperlink" Target="https://www.zotero.org/google-docs/?3wV5fV" TargetMode="External"/><Relationship Id="rId37" Type="http://schemas.openxmlformats.org/officeDocument/2006/relationships/hyperlink" Target="https://www.zotero.org/google-docs/?Ei1tpa" TargetMode="External"/><Relationship Id="rId53" Type="http://schemas.openxmlformats.org/officeDocument/2006/relationships/hyperlink" Target="https://www.zotero.org/google-docs/?Ei1tpa" TargetMode="External"/><Relationship Id="rId58" Type="http://schemas.openxmlformats.org/officeDocument/2006/relationships/hyperlink" Target="https://www.zotero.org/google-docs/?Ei1tpa" TargetMode="External"/><Relationship Id="rId74" Type="http://schemas.openxmlformats.org/officeDocument/2006/relationships/hyperlink" Target="https://www.zotero.org/google-docs/?Ei1tpa" TargetMode="External"/><Relationship Id="rId79" Type="http://schemas.openxmlformats.org/officeDocument/2006/relationships/hyperlink" Target="https://www.zotero.org/google-docs/?Ei1tpa" TargetMode="External"/><Relationship Id="rId102" Type="http://schemas.openxmlformats.org/officeDocument/2006/relationships/hyperlink" Target="https://www.zotero.org/google-docs/?Ei1tpa" TargetMode="External"/><Relationship Id="rId5" Type="http://schemas.openxmlformats.org/officeDocument/2006/relationships/endnotes" Target="endnotes.xml"/><Relationship Id="rId61" Type="http://schemas.openxmlformats.org/officeDocument/2006/relationships/hyperlink" Target="https://www.zotero.org/google-docs/?Ei1tpa" TargetMode="External"/><Relationship Id="rId82" Type="http://schemas.openxmlformats.org/officeDocument/2006/relationships/hyperlink" Target="https://www.zotero.org/google-docs/?Ei1tpa" TargetMode="External"/><Relationship Id="rId90" Type="http://schemas.openxmlformats.org/officeDocument/2006/relationships/hyperlink" Target="https://www.zotero.org/google-docs/?Ei1tpa" TargetMode="External"/><Relationship Id="rId95" Type="http://schemas.openxmlformats.org/officeDocument/2006/relationships/hyperlink" Target="https://www.zotero.org/google-docs/?Ei1tpa" TargetMode="External"/><Relationship Id="rId19" Type="http://schemas.openxmlformats.org/officeDocument/2006/relationships/hyperlink" Target="https://www.zotero.org/google-docs/?3YUKqQ" TargetMode="External"/><Relationship Id="rId14" Type="http://schemas.openxmlformats.org/officeDocument/2006/relationships/hyperlink" Target="https://www.zotero.org/google-docs/?Z1Qtqr" TargetMode="External"/><Relationship Id="rId22" Type="http://schemas.openxmlformats.org/officeDocument/2006/relationships/hyperlink" Target="https://www.zotero.org/google-docs/?zAaHUE" TargetMode="External"/><Relationship Id="rId27" Type="http://schemas.openxmlformats.org/officeDocument/2006/relationships/hyperlink" Target="https://www.zotero.org/google-docs/?zwUMLs" TargetMode="External"/><Relationship Id="rId30" Type="http://schemas.openxmlformats.org/officeDocument/2006/relationships/hyperlink" Target="https://www.zotero.org/google-docs/?mbYG4Q" TargetMode="External"/><Relationship Id="rId35" Type="http://schemas.openxmlformats.org/officeDocument/2006/relationships/hyperlink" Target="https://www.zotero.org/google-docs/?Ei1tpa" TargetMode="External"/><Relationship Id="rId43" Type="http://schemas.openxmlformats.org/officeDocument/2006/relationships/hyperlink" Target="https://www.zotero.org/google-docs/?Ei1tpa" TargetMode="External"/><Relationship Id="rId48" Type="http://schemas.openxmlformats.org/officeDocument/2006/relationships/hyperlink" Target="https://www.zotero.org/google-docs/?Ei1tpa" TargetMode="External"/><Relationship Id="rId56" Type="http://schemas.openxmlformats.org/officeDocument/2006/relationships/hyperlink" Target="https://www.zotero.org/google-docs/?Ei1tpa" TargetMode="External"/><Relationship Id="rId64" Type="http://schemas.openxmlformats.org/officeDocument/2006/relationships/hyperlink" Target="https://www.zotero.org/google-docs/?Ei1tpa" TargetMode="External"/><Relationship Id="rId69" Type="http://schemas.openxmlformats.org/officeDocument/2006/relationships/hyperlink" Target="https://www.zotero.org/google-docs/?Ei1tpa" TargetMode="External"/><Relationship Id="rId77" Type="http://schemas.openxmlformats.org/officeDocument/2006/relationships/hyperlink" Target="https://www.zotero.org/google-docs/?Ei1tpa" TargetMode="External"/><Relationship Id="rId100" Type="http://schemas.openxmlformats.org/officeDocument/2006/relationships/hyperlink" Target="https://www.zotero.org/google-docs/?Ei1tpa" TargetMode="External"/><Relationship Id="rId105" Type="http://schemas.openxmlformats.org/officeDocument/2006/relationships/hyperlink" Target="https://www.zotero.org/google-docs/?Ei1tpa" TargetMode="External"/><Relationship Id="rId113" Type="http://schemas.openxmlformats.org/officeDocument/2006/relationships/hyperlink" Target="https://www.zotero.org/google-docs/?Ei1tpa" TargetMode="External"/><Relationship Id="rId118" Type="http://schemas.openxmlformats.org/officeDocument/2006/relationships/image" Target="media/image7.png"/><Relationship Id="rId8" Type="http://schemas.openxmlformats.org/officeDocument/2006/relationships/hyperlink" Target="https://www.zotero.org/google-docs/?QTInbs" TargetMode="External"/><Relationship Id="rId51" Type="http://schemas.openxmlformats.org/officeDocument/2006/relationships/hyperlink" Target="https://www.zotero.org/google-docs/?Ei1tpa" TargetMode="External"/><Relationship Id="rId72" Type="http://schemas.openxmlformats.org/officeDocument/2006/relationships/hyperlink" Target="https://www.zotero.org/google-docs/?Ei1tpa" TargetMode="External"/><Relationship Id="rId80" Type="http://schemas.openxmlformats.org/officeDocument/2006/relationships/hyperlink" Target="https://www.zotero.org/google-docs/?Ei1tpa" TargetMode="External"/><Relationship Id="rId85" Type="http://schemas.openxmlformats.org/officeDocument/2006/relationships/hyperlink" Target="https://www.zotero.org/google-docs/?Ei1tpa" TargetMode="External"/><Relationship Id="rId93" Type="http://schemas.openxmlformats.org/officeDocument/2006/relationships/hyperlink" Target="https://www.zotero.org/google-docs/?Ei1tpa" TargetMode="External"/><Relationship Id="rId98" Type="http://schemas.openxmlformats.org/officeDocument/2006/relationships/hyperlink" Target="https://www.zotero.org/google-docs/?Ei1tpa" TargetMode="External"/><Relationship Id="rId12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zotero.org/google-docs/?HL0TLm" TargetMode="External"/><Relationship Id="rId17" Type="http://schemas.openxmlformats.org/officeDocument/2006/relationships/hyperlink" Target="https://www.zotero.org/google-docs/?3e7EGX" TargetMode="External"/><Relationship Id="rId25" Type="http://schemas.openxmlformats.org/officeDocument/2006/relationships/image" Target="media/image2.png"/><Relationship Id="rId33" Type="http://schemas.openxmlformats.org/officeDocument/2006/relationships/hyperlink" Target="https://www.zotero.org/google-docs/?Z0nGe1" TargetMode="External"/><Relationship Id="rId38" Type="http://schemas.openxmlformats.org/officeDocument/2006/relationships/hyperlink" Target="https://www.zotero.org/google-docs/?Ei1tpa" TargetMode="External"/><Relationship Id="rId46" Type="http://schemas.openxmlformats.org/officeDocument/2006/relationships/hyperlink" Target="https://www.zotero.org/google-docs/?Ei1tpa" TargetMode="External"/><Relationship Id="rId59" Type="http://schemas.openxmlformats.org/officeDocument/2006/relationships/hyperlink" Target="https://www.zotero.org/google-docs/?Ei1tpa" TargetMode="External"/><Relationship Id="rId67" Type="http://schemas.openxmlformats.org/officeDocument/2006/relationships/hyperlink" Target="https://www.zotero.org/google-docs/?Ei1tpa" TargetMode="External"/><Relationship Id="rId103" Type="http://schemas.openxmlformats.org/officeDocument/2006/relationships/hyperlink" Target="https://www.zotero.org/google-docs/?Ei1tpa" TargetMode="External"/><Relationship Id="rId108" Type="http://schemas.openxmlformats.org/officeDocument/2006/relationships/hyperlink" Target="https://www.zotero.org/google-docs/?Ei1tpa" TargetMode="External"/><Relationship Id="rId116" Type="http://schemas.openxmlformats.org/officeDocument/2006/relationships/image" Target="media/image5.png"/><Relationship Id="rId20" Type="http://schemas.openxmlformats.org/officeDocument/2006/relationships/hyperlink" Target="https://www.zotero.org/google-docs/?TiDXJm" TargetMode="External"/><Relationship Id="rId41" Type="http://schemas.openxmlformats.org/officeDocument/2006/relationships/hyperlink" Target="https://www.zotero.org/google-docs/?Ei1tpa" TargetMode="External"/><Relationship Id="rId54" Type="http://schemas.openxmlformats.org/officeDocument/2006/relationships/hyperlink" Target="https://www.zotero.org/google-docs/?Ei1tpa" TargetMode="External"/><Relationship Id="rId62" Type="http://schemas.openxmlformats.org/officeDocument/2006/relationships/hyperlink" Target="https://www.zotero.org/google-docs/?Ei1tpa" TargetMode="External"/><Relationship Id="rId70" Type="http://schemas.openxmlformats.org/officeDocument/2006/relationships/hyperlink" Target="https://www.zotero.org/google-docs/?Ei1tpa" TargetMode="External"/><Relationship Id="rId75" Type="http://schemas.openxmlformats.org/officeDocument/2006/relationships/hyperlink" Target="https://www.zotero.org/google-docs/?Ei1tpa" TargetMode="External"/><Relationship Id="rId83" Type="http://schemas.openxmlformats.org/officeDocument/2006/relationships/hyperlink" Target="https://www.zotero.org/google-docs/?Ei1tpa" TargetMode="External"/><Relationship Id="rId88" Type="http://schemas.openxmlformats.org/officeDocument/2006/relationships/hyperlink" Target="https://www.zotero.org/google-docs/?Ei1tpa" TargetMode="External"/><Relationship Id="rId91" Type="http://schemas.openxmlformats.org/officeDocument/2006/relationships/hyperlink" Target="https://www.zotero.org/google-docs/?Ei1tpa" TargetMode="External"/><Relationship Id="rId96" Type="http://schemas.openxmlformats.org/officeDocument/2006/relationships/hyperlink" Target="https://www.zotero.org/google-docs/?Ei1tpa" TargetMode="External"/><Relationship Id="rId111" Type="http://schemas.openxmlformats.org/officeDocument/2006/relationships/hyperlink" Target="https://www.zotero.org/google-docs/?Ei1tpa" TargetMode="External"/><Relationship Id="rId1" Type="http://schemas.openxmlformats.org/officeDocument/2006/relationships/styles" Target="styles.xml"/><Relationship Id="rId6" Type="http://schemas.openxmlformats.org/officeDocument/2006/relationships/hyperlink" Target="https://www.zotero.org/google-docs/?c3U3hA" TargetMode="External"/><Relationship Id="rId15" Type="http://schemas.openxmlformats.org/officeDocument/2006/relationships/hyperlink" Target="https://www.zotero.org/google-docs/?UOSHWF" TargetMode="External"/><Relationship Id="rId23" Type="http://schemas.openxmlformats.org/officeDocument/2006/relationships/hyperlink" Target="https://www.zotero.org/google-docs/?jla45X" TargetMode="External"/><Relationship Id="rId28" Type="http://schemas.openxmlformats.org/officeDocument/2006/relationships/hyperlink" Target="https://www.zotero.org/google-docs/?LFGlq3" TargetMode="External"/><Relationship Id="rId36" Type="http://schemas.openxmlformats.org/officeDocument/2006/relationships/hyperlink" Target="https://www.zotero.org/google-docs/?Ei1tpa" TargetMode="External"/><Relationship Id="rId49" Type="http://schemas.openxmlformats.org/officeDocument/2006/relationships/hyperlink" Target="https://www.zotero.org/google-docs/?Ei1tpa" TargetMode="External"/><Relationship Id="rId57" Type="http://schemas.openxmlformats.org/officeDocument/2006/relationships/hyperlink" Target="https://www.zotero.org/google-docs/?Ei1tpa" TargetMode="External"/><Relationship Id="rId106" Type="http://schemas.openxmlformats.org/officeDocument/2006/relationships/hyperlink" Target="https://www.zotero.org/google-docs/?Ei1tpa" TargetMode="External"/><Relationship Id="rId114" Type="http://schemas.openxmlformats.org/officeDocument/2006/relationships/image" Target="media/image3.png"/><Relationship Id="rId119" Type="http://schemas.openxmlformats.org/officeDocument/2006/relationships/image" Target="media/image8.png"/><Relationship Id="rId10" Type="http://schemas.openxmlformats.org/officeDocument/2006/relationships/hyperlink" Target="https://www.zotero.org/google-docs/?sidiei" TargetMode="External"/><Relationship Id="rId31" Type="http://schemas.openxmlformats.org/officeDocument/2006/relationships/hyperlink" Target="https://www.zotero.org/google-docs/?XUfBjU" TargetMode="External"/><Relationship Id="rId44" Type="http://schemas.openxmlformats.org/officeDocument/2006/relationships/hyperlink" Target="https://www.zotero.org/google-docs/?Ei1tpa" TargetMode="External"/><Relationship Id="rId52" Type="http://schemas.openxmlformats.org/officeDocument/2006/relationships/hyperlink" Target="https://www.zotero.org/google-docs/?Ei1tpa" TargetMode="External"/><Relationship Id="rId60" Type="http://schemas.openxmlformats.org/officeDocument/2006/relationships/hyperlink" Target="https://www.zotero.org/google-docs/?Ei1tpa" TargetMode="External"/><Relationship Id="rId65" Type="http://schemas.openxmlformats.org/officeDocument/2006/relationships/hyperlink" Target="https://www.zotero.org/google-docs/?Ei1tpa" TargetMode="External"/><Relationship Id="rId73" Type="http://schemas.openxmlformats.org/officeDocument/2006/relationships/hyperlink" Target="https://www.zotero.org/google-docs/?Ei1tpa" TargetMode="External"/><Relationship Id="rId78" Type="http://schemas.openxmlformats.org/officeDocument/2006/relationships/hyperlink" Target="https://www.zotero.org/google-docs/?Ei1tpa" TargetMode="External"/><Relationship Id="rId81" Type="http://schemas.openxmlformats.org/officeDocument/2006/relationships/hyperlink" Target="https://www.zotero.org/google-docs/?Ei1tpa" TargetMode="External"/><Relationship Id="rId86" Type="http://schemas.openxmlformats.org/officeDocument/2006/relationships/hyperlink" Target="https://www.zotero.org/google-docs/?Ei1tpa" TargetMode="External"/><Relationship Id="rId94" Type="http://schemas.openxmlformats.org/officeDocument/2006/relationships/hyperlink" Target="https://www.zotero.org/google-docs/?Ei1tpa" TargetMode="External"/><Relationship Id="rId99" Type="http://schemas.openxmlformats.org/officeDocument/2006/relationships/hyperlink" Target="https://www.zotero.org/google-docs/?Ei1tpa" TargetMode="External"/><Relationship Id="rId101" Type="http://schemas.openxmlformats.org/officeDocument/2006/relationships/hyperlink" Target="https://www.zotero.org/google-docs/?Ei1tpa" TargetMode="External"/><Relationship Id="rId12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zotero.org/google-docs/?YyLvMa" TargetMode="External"/><Relationship Id="rId13" Type="http://schemas.openxmlformats.org/officeDocument/2006/relationships/hyperlink" Target="https://www.zotero.org/google-docs/?B4cX5X" TargetMode="External"/><Relationship Id="rId18" Type="http://schemas.openxmlformats.org/officeDocument/2006/relationships/hyperlink" Target="https://www.zotero.org/google-docs/?zgJLkT" TargetMode="External"/><Relationship Id="rId39" Type="http://schemas.openxmlformats.org/officeDocument/2006/relationships/hyperlink" Target="https://www.zotero.org/google-docs/?Ei1tpa" TargetMode="External"/><Relationship Id="rId109" Type="http://schemas.openxmlformats.org/officeDocument/2006/relationships/hyperlink" Target="https://www.zotero.org/google-docs/?Ei1tpa" TargetMode="External"/><Relationship Id="rId34" Type="http://schemas.openxmlformats.org/officeDocument/2006/relationships/hyperlink" Target="https://www.zotero.org/google-docs/?c6VSG7" TargetMode="External"/><Relationship Id="rId50" Type="http://schemas.openxmlformats.org/officeDocument/2006/relationships/hyperlink" Target="https://www.zotero.org/google-docs/?Ei1tpa" TargetMode="External"/><Relationship Id="rId55" Type="http://schemas.openxmlformats.org/officeDocument/2006/relationships/hyperlink" Target="https://www.zotero.org/google-docs/?Ei1tpa" TargetMode="External"/><Relationship Id="rId76" Type="http://schemas.openxmlformats.org/officeDocument/2006/relationships/hyperlink" Target="https://www.zotero.org/google-docs/?Ei1tpa" TargetMode="External"/><Relationship Id="rId97" Type="http://schemas.openxmlformats.org/officeDocument/2006/relationships/hyperlink" Target="https://www.zotero.org/google-docs/?Ei1tpa" TargetMode="External"/><Relationship Id="rId104" Type="http://schemas.openxmlformats.org/officeDocument/2006/relationships/hyperlink" Target="https://www.zotero.org/google-docs/?Ei1tpa" TargetMode="External"/><Relationship Id="rId120" Type="http://schemas.openxmlformats.org/officeDocument/2006/relationships/header" Target="header1.xml"/><Relationship Id="rId7" Type="http://schemas.openxmlformats.org/officeDocument/2006/relationships/hyperlink" Target="https://www.zotero.org/google-docs/?YVlBee" TargetMode="External"/><Relationship Id="rId71" Type="http://schemas.openxmlformats.org/officeDocument/2006/relationships/hyperlink" Target="https://www.zotero.org/google-docs/?Ei1tpa" TargetMode="External"/><Relationship Id="rId92" Type="http://schemas.openxmlformats.org/officeDocument/2006/relationships/hyperlink" Target="https://www.zotero.org/google-docs/?Ei1tpa" TargetMode="External"/><Relationship Id="rId2" Type="http://schemas.openxmlformats.org/officeDocument/2006/relationships/settings" Target="settings.xml"/><Relationship Id="rId29" Type="http://schemas.openxmlformats.org/officeDocument/2006/relationships/hyperlink" Target="https://www.zotero.org/google-docs/?OawuGp" TargetMode="External"/><Relationship Id="rId24" Type="http://schemas.openxmlformats.org/officeDocument/2006/relationships/image" Target="media/image1.png"/><Relationship Id="rId40" Type="http://schemas.openxmlformats.org/officeDocument/2006/relationships/hyperlink" Target="https://www.zotero.org/google-docs/?Ei1tpa" TargetMode="External"/><Relationship Id="rId45" Type="http://schemas.openxmlformats.org/officeDocument/2006/relationships/hyperlink" Target="https://www.zotero.org/google-docs/?Ei1tpa" TargetMode="External"/><Relationship Id="rId66" Type="http://schemas.openxmlformats.org/officeDocument/2006/relationships/hyperlink" Target="https://www.zotero.org/google-docs/?Ei1tpa" TargetMode="External"/><Relationship Id="rId87" Type="http://schemas.openxmlformats.org/officeDocument/2006/relationships/hyperlink" Target="https://www.zotero.org/google-docs/?Ei1tpa" TargetMode="External"/><Relationship Id="rId110" Type="http://schemas.openxmlformats.org/officeDocument/2006/relationships/hyperlink" Target="https://www.zotero.org/google-docs/?Ei1tpa" TargetMode="External"/><Relationship Id="rId11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5850</Words>
  <Characters>33349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2</cp:revision>
  <dcterms:created xsi:type="dcterms:W3CDTF">2023-04-15T02:29:00Z</dcterms:created>
  <dcterms:modified xsi:type="dcterms:W3CDTF">2023-04-15T02:29:00Z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99fa1349b7b9496f0469ab10c1f4622bbdcd4ff3f6d7bccfa178fa516b24851c</vt:lpwstr>
  </property>
</Properties>
</file>