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232D4B"/>
          <w:sz w:val="40"/>
          <w:szCs w:val="40"/>
        </w:rPr>
        <w:t xml:space="preserve">FOUNDATION RELATIONS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E57200"/>
          <w:sz w:val="28"/>
          <w:szCs w:val="28"/>
        </w:rPr>
        <w:t xml:space="preserve">Liaison Model</w:t>
      </w:r>
    </w:p>
    <w:p>
      <w:pPr>
        <w:pBdr>
          <w:bottom w:val="single" w:color="232D4B" w:sz="6" w:space="6"/>
        </w:pBdr>
        <w:spacing w:after="24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University of Virginia  |  Division of External Relations  |  Effective April 2026</w:t>
      </w:r>
    </w:p>
    <w:p>
      <w:pPr>
        <w:pStyle w:val="Heading1"/>
        <w:pBdr>
          <w:bottom w:val="single" w:color="CCCCCC" w:sz="4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232D4B"/>
          <w:sz w:val="26"/>
          <w:szCs w:val="26"/>
        </w:rPr>
        <w:t xml:space="preserve">Overview</w:t>
      </w:r>
    </w:p>
    <w:p>
      <w:pPr>
        <w:spacing w:after="1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Foundation Relations team will pilot a new liaison model, beginning April 2026, designed to reimagine how we organize our work to best support foundation fundraising across Grounds. This model – considered a best practice at peer institutions – enables Foundation Relations development officers to be more deeply embedded in select units and serve as a consistent point of contact.</w:t>
      </w:r>
    </w:p>
    <w:p>
      <w:pPr>
        <w:pStyle w:val="Heading1"/>
        <w:pBdr>
          <w:bottom w:val="single" w:color="CCCCCC" w:sz="4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232D4B"/>
          <w:sz w:val="26"/>
          <w:szCs w:val="26"/>
        </w:rPr>
        <w:t xml:space="preserve">About the Assignments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Liaison assignments are organized around schools and key university priorities with significant foundation funding potential, while ensuring that assignments are balanced within the team.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While this model will create a team lead for units, the team will work collaboratively across assignments as needed to provide necessary support.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Karol Kozak Lester will work across Grounds on proposals below $150K, as well as be the team liaison for several programs based out of the Provost’s office that we anticipate yielding gifts in this range.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All 12 schools and Wise have a Foundation Relations liaison, however, not all pan-university initiatives and centers do. Team support for the latter is based on prospective funding opportunities.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 the first year of the pilot, we anticipate the need to calibrate assignments based on team and unit feedback.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 the extent that is possible, team portfolios will align with liaison assignments; however, we acknowledge there are many funders whose priorities do not fit neatly within this structure.</w:t>
      </w:r>
    </w:p>
    <w:p>
      <w:pPr>
        <w:pStyle w:val="Heading1"/>
        <w:pBdr>
          <w:bottom w:val="single" w:color="CCCCCC" w:sz="4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232D4B"/>
          <w:sz w:val="26"/>
          <w:szCs w:val="26"/>
        </w:rPr>
        <w:t xml:space="preserve">Assignment Expectations</w:t>
      </w:r>
    </w:p>
    <w:p>
      <w:pPr>
        <w:spacing w:after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Liaisons will: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Schedule initial intro/intake meetings with unit development and school leads and set up a reoccurring meeting to refine shared priorities, review funding needs, discuss prospects, report on faculty meetings and proposal activity.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Ensure timely delivery of team services, including:</w:t>
      </w:r>
    </w:p>
    <w:p>
      <w:pPr>
        <w:pStyle w:val="ListParagraph"/>
        <w:numPr>
          <w:ilvl w:val="1"/>
          <w:numId w:val="2"/>
        </w:num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Develop and prioritize prospect lists</w:t>
      </w:r>
    </w:p>
    <w:p>
      <w:pPr>
        <w:pStyle w:val="ListParagraph"/>
        <w:numPr>
          <w:ilvl w:val="1"/>
          <w:numId w:val="2"/>
        </w:num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Navigate foundation proposal process and timelines</w:t>
      </w:r>
    </w:p>
    <w:p>
      <w:pPr>
        <w:pStyle w:val="ListParagraph"/>
        <w:numPr>
          <w:ilvl w:val="1"/>
          <w:numId w:val="2"/>
        </w:num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Advise on strategies and relationships with foundation officers and staff</w:t>
      </w:r>
    </w:p>
    <w:p>
      <w:pPr>
        <w:pStyle w:val="ListParagraph"/>
        <w:numPr>
          <w:ilvl w:val="1"/>
          <w:numId w:val="2"/>
        </w:num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Prepare for and staff meetings with foundation officers</w:t>
      </w:r>
    </w:p>
    <w:p>
      <w:pPr>
        <w:pStyle w:val="ListParagraph"/>
        <w:numPr>
          <w:ilvl w:val="1"/>
          <w:numId w:val="2"/>
        </w:num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Assist with proposal development, review and writing submission</w:t>
      </w:r>
    </w:p>
    <w:p>
      <w:pPr>
        <w:pStyle w:val="ListParagraph"/>
        <w:numPr>
          <w:ilvl w:val="1"/>
          <w:numId w:val="2"/>
        </w:num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Build stewardship plans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Once pilot is complete and we have a strong model in place, a long-term vision is to jointly build with units an annual foundation relations plan.</w:t>
      </w:r>
    </w:p>
    <w:p>
      <w:pPr>
        <w:pStyle w:val="Heading1"/>
        <w:pBdr>
          <w:bottom w:val="single" w:color="CCCCCC" w:sz="4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232D4B"/>
          <w:sz w:val="26"/>
          <w:szCs w:val="26"/>
        </w:rPr>
        <w:t xml:space="preserve">Foundation Relations Assignments (as of April 2026)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0"/>
        <w:gridCol w:w="1680"/>
        <w:gridCol w:w="7750"/>
      </w:tblGrid>
      <w:tr>
        <w:trPr>
          <w:tblHeader/>
        </w:trPr>
        <w:tc>
          <w:tcPr>
            <w:tcW w:type="dxa" w:w="10240"/>
            <w:gridSpan w:val="3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232D4B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Cait Mohr</w:t>
            </w:r>
          </w:p>
        </w:tc>
      </w:tr>
      <w:tr>
        <w:trPr>
          <w:tblHeader/>
        </w:trP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Unit Name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Health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Cancer Center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Health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School of Medicine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Health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Medical Center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Health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School of Nursing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Health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Manning Institute of Biotechnology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Health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Brain Institute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Health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Community Health</w:t>
            </w:r>
          </w:p>
        </w:tc>
      </w:tr>
      <w:tr>
        <w:trPr>
          <w:tblHeader/>
        </w:trPr>
        <w:tc>
          <w:tcPr>
            <w:tcW w:type="dxa" w:w="10240"/>
            <w:gridSpan w:val="3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232D4B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Cara Pomponio</w:t>
            </w:r>
          </w:p>
        </w:tc>
      </w:tr>
      <w:tr>
        <w:trPr>
          <w:tblHeader/>
        </w:trP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Unit Name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Democracy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Batten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Democracy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Karsh Institute for Democracy (includes Weldon Cooper Center)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Democracy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Miller Center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Democracy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Center for Politics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Architecture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Architecture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Law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Law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Education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Education Rights Institute (Law School)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Education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EHD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CSC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Contemplative Sciences Center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Engineering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Engineering School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Arts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UVA Arts (Fralin, Film Festival, etc.)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AI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AI@UVA (Provost)</w:t>
            </w:r>
          </w:p>
        </w:tc>
      </w:tr>
      <w:tr>
        <w:trPr>
          <w:tblHeader/>
        </w:trPr>
        <w:tc>
          <w:tcPr>
            <w:tcW w:type="dxa" w:w="10240"/>
            <w:gridSpan w:val="3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232D4B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Ellen Root</w:t>
            </w:r>
          </w:p>
        </w:tc>
      </w:tr>
      <w:tr>
        <w:trPr>
          <w:tblHeader/>
        </w:trP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Unit Name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A&amp;S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Arts &amp; Sciences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SDS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School of Data Science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Provost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Environmental Institute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Provost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Biocomplexity Institute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SCPS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School of Continuing and Professional Studies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Business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Darden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Business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McIntire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Wise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Wise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Library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Library</w:t>
            </w:r>
          </w:p>
        </w:tc>
      </w:tr>
      <w:tr>
        <w:trPr>
          <w:tblHeader/>
        </w:trPr>
        <w:tc>
          <w:tcPr>
            <w:tcW w:type="dxa" w:w="10240"/>
            <w:gridSpan w:val="3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232D4B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Karol Kozak Lester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3E6"/>
                <w:sz w:val="18"/>
                <w:szCs w:val="18"/>
              </w:rPr>
              <w:t xml:space="preserve">Generalist on all &lt;$150K proposals &amp; Liaison for Select Provost Initiatives</w:t>
            </w:r>
          </w:p>
        </w:tc>
      </w:tr>
      <w:tr>
        <w:trPr>
          <w:tblHeader/>
        </w:trP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Unit Name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Provost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VA Humanities (includes VA Festival of the Book)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Provost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Gun Violence Solutions Project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Provost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Global</w:t>
            </w:r>
          </w:p>
        </w:tc>
      </w:tr>
    </w:tbl>
    <w:p>
      <w:pPr>
        <w:pBdr>
          <w:top w:val="single" w:color="CCCCCC" w:sz="4" w:space="6"/>
        </w:pBdr>
        <w:spacing w:before="300"/>
        <w:jc w:val="center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University of Virginia  |  Corporate &amp; Foundation Relations  |  April 2026  |  Internal Use Only</w:t>
      </w:r>
    </w:p>
    <w:sectPr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2026-09-16T13:58:16.354Z</dcterms:created>
  <dcterms:modified xsi:type="dcterms:W3CDTF">2026-09-16T13:58:16.354Z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