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Calibri" w:cs="Calibri" w:eastAsia="Calibri" w:hAnsi="Calibri"/>
          <w:b/>
          <w:bCs/>
          <w:color w:val="232D4B"/>
          <w:sz w:val="40"/>
          <w:szCs w:val="40"/>
        </w:rPr>
        <w:t xml:space="preserve">CORPORATE RELATIONS</w:t>
      </w:r>
    </w:p>
    <w:p>
      <w:pPr>
        <w:spacing w:after="40"/>
      </w:pPr>
      <w:r>
        <w:rPr>
          <w:rFonts w:ascii="Calibri" w:cs="Calibri" w:eastAsia="Calibri" w:hAnsi="Calibri"/>
          <w:b/>
          <w:bCs/>
          <w:color w:val="E57200"/>
          <w:sz w:val="28"/>
          <w:szCs w:val="28"/>
        </w:rPr>
        <w:t xml:space="preserve">School Placement Model</w:t>
      </w:r>
    </w:p>
    <w:p>
      <w:pPr>
        <w:pBdr>
          <w:bottom w:val="single" w:color="232D4B" w:sz="6" w:space="6"/>
        </w:pBdr>
        <w:spacing w:after="240"/>
      </w:pPr>
      <w:r>
        <w:rPr>
          <w:rFonts w:ascii="Calibri" w:cs="Calibri" w:eastAsia="Calibri" w:hAnsi="Calibri"/>
          <w:i/>
          <w:iCs/>
          <w:color w:val="444444"/>
          <w:sz w:val="20"/>
          <w:szCs w:val="20"/>
        </w:rPr>
        <w:t xml:space="preserve">University of Virginia  |  Division of External Relations  |  Effective September 2026</w:t>
      </w:r>
    </w:p>
    <w:p>
      <w:pPr>
        <w:pStyle w:val="Heading1"/>
        <w:pBdr>
          <w:bottom w:val="single" w:color="CCCCCC" w:sz="4" w:space="4"/>
        </w:pBdr>
        <w:spacing w:after="120" w:before="280"/>
      </w:pPr>
      <w:r>
        <w:rPr>
          <w:rFonts w:ascii="Calibri" w:cs="Calibri" w:eastAsia="Calibri" w:hAnsi="Calibri"/>
          <w:b/>
          <w:bCs/>
          <w:color w:val="232D4B"/>
          <w:sz w:val="26"/>
          <w:szCs w:val="26"/>
        </w:rPr>
        <w:t xml:space="preserve">Overview</w:t>
      </w:r>
    </w:p>
    <w:p>
      <w:pPr>
        <w:spacing w:after="140"/>
      </w:pPr>
      <w:r>
        <w:rPr>
          <w:rFonts w:ascii="Calibri" w:cs="Calibri" w:eastAsia="Calibri" w:hAnsi="Calibri"/>
          <w:color w:val="1A1A1A"/>
          <w:sz w:val="21"/>
          <w:szCs w:val="21"/>
        </w:rPr>
        <w:t xml:space="preserve">Corporate Relations will adopt a school placement model, complementing the school-based liaison model the Foundation Relations team piloted beginning April 2026. Under this model, each of UVA's 12 schools and Wise is assigned a Corporate Relations point of contact, giving deans, unit development leads, and corporate partners the same consistent front door on the corporate side that they now have on the foundation side.</w:t>
      </w:r>
    </w:p>
    <w:p>
      <w:pPr>
        <w:spacing w:after="140"/>
      </w:pPr>
      <w:r>
        <w:rPr>
          <w:rFonts w:ascii="Calibri" w:cs="Calibri" w:eastAsia="Calibri" w:hAnsi="Calibri"/>
          <w:color w:val="1A1A1A"/>
          <w:sz w:val="21"/>
          <w:szCs w:val="21"/>
        </w:rPr>
        <w:t xml:space="preserve">Centers, institutes, and pan-university priorities do not map cleanly onto a single school, so this model continues to place them using the research-theme lens established in the July 2026 CR Thematic Placement Model — UVA Research Hub activity, federal funding priority areas, and active funded research — rather than administrative home. In practice, that means each school placement carries the centers and institutes whose research most directly extends that school's identity, while initiatives with no clear school home are tracked as pan-university priorities and assigned a lead case by case.</w:t>
      </w:r>
    </w:p>
    <w:p>
      <w:pPr>
        <w:spacing w:after="140"/>
      </w:pPr>
      <w:r>
        <w:rPr>
          <w:rFonts w:ascii="Calibri" w:cs="Calibri" w:eastAsia="Calibri" w:hAnsi="Calibri"/>
          <w:color w:val="1A1A1A"/>
          <w:sz w:val="21"/>
          <w:szCs w:val="21"/>
        </w:rPr>
        <w:t xml:space="preserve">With two full-time development officers, this model maximizes coverage by pairing each officer with a set of schools and their thematically aligned centers and institutes, while preserving shared accountability for cross-cutting priorities. As under the thematic model, the Health System is excluded; Health-aligned corporate partnerships are managed separately.</w:t>
      </w:r>
    </w:p>
    <w:p>
      <w:pPr>
        <w:pStyle w:val="Heading1"/>
        <w:pBdr>
          <w:bottom w:val="single" w:color="CCCCCC" w:sz="4" w:space="4"/>
        </w:pBdr>
        <w:spacing w:after="120" w:before="280"/>
      </w:pPr>
      <w:r>
        <w:rPr>
          <w:rFonts w:ascii="Calibri" w:cs="Calibri" w:eastAsia="Calibri" w:hAnsi="Calibri"/>
          <w:b/>
          <w:bCs/>
          <w:color w:val="232D4B"/>
          <w:sz w:val="26"/>
          <w:szCs w:val="26"/>
        </w:rPr>
        <w:t xml:space="preserve">About the Assignments</w:t>
      </w:r>
    </w:p>
    <w:p>
      <w:pPr>
        <w:pStyle w:val="ListParagraph"/>
        <w:numPr>
          <w:ilvl w:val="0"/>
          <w:numId w:val="2"/>
        </w:numPr>
        <w:spacing w:after="90"/>
      </w:pPr>
      <w:r>
        <w:rPr>
          <w:rFonts w:ascii="Calibri" w:cs="Calibri" w:eastAsia="Calibri" w:hAnsi="Calibri"/>
          <w:b/>
          <w:bCs/>
          <w:color w:val="1A1A1A"/>
          <w:sz w:val="21"/>
          <w:szCs w:val="21"/>
        </w:rPr>
        <w:t xml:space="preserve">School placements, not themes, are the primary organizing unit. </w:t>
      </w:r>
      <w:r>
        <w:rPr>
          <w:rFonts w:ascii="Calibri" w:cs="Calibri" w:eastAsia="Calibri" w:hAnsi="Calibri"/>
          <w:color w:val="1A1A1A"/>
          <w:sz w:val="21"/>
          <w:szCs w:val="21"/>
        </w:rPr>
        <w:t xml:space="preserve">Each officer anchors to a set of schools — mirroring the FR liaison model — so units have a single consistent point of contact across both corporate and foundation fundraising.</w:t>
      </w:r>
    </w:p>
    <w:p>
      <w:pPr>
        <w:pStyle w:val="ListParagraph"/>
        <w:numPr>
          <w:ilvl w:val="0"/>
          <w:numId w:val="2"/>
        </w:numPr>
        <w:spacing w:after="90"/>
      </w:pPr>
      <w:r>
        <w:rPr>
          <w:rFonts w:ascii="Calibri" w:cs="Calibri" w:eastAsia="Calibri" w:hAnsi="Calibri"/>
          <w:b/>
          <w:bCs/>
          <w:color w:val="1A1A1A"/>
          <w:sz w:val="21"/>
          <w:szCs w:val="21"/>
        </w:rPr>
        <w:t xml:space="preserve">Centers, institutes, and pan-university initiatives are placed using the thematic lens, not administrative home. </w:t>
      </w:r>
      <w:r>
        <w:rPr>
          <w:rFonts w:ascii="Calibri" w:cs="Calibri" w:eastAsia="Calibri" w:hAnsi="Calibri"/>
          <w:color w:val="1A1A1A"/>
          <w:sz w:val="21"/>
          <w:szCs w:val="21"/>
        </w:rPr>
        <w:t xml:space="preserve">This is the same logic used in the July 2026 CR Thematic Placement Model, since a center's corporate relevance is driven by its research area, not its reporting line.</w:t>
      </w:r>
    </w:p>
    <w:p>
      <w:pPr>
        <w:pStyle w:val="ListParagraph"/>
        <w:numPr>
          <w:ilvl w:val="0"/>
          <w:numId w:val="2"/>
        </w:numPr>
        <w:spacing w:after="90"/>
      </w:pPr>
      <w:r>
        <w:rPr>
          <w:rFonts w:ascii="Calibri" w:cs="Calibri" w:eastAsia="Calibri" w:hAnsi="Calibri"/>
          <w:b/>
          <w:bCs/>
          <w:color w:val="1A1A1A"/>
          <w:sz w:val="21"/>
          <w:szCs w:val="21"/>
        </w:rPr>
        <w:t xml:space="preserve">Thematically aligned centers travel with the school they extend. </w:t>
      </w:r>
      <w:r>
        <w:rPr>
          <w:rFonts w:ascii="Calibri" w:cs="Calibri" w:eastAsia="Calibri" w:hAnsi="Calibri"/>
          <w:color w:val="1A1A1A"/>
          <w:sz w:val="21"/>
          <w:szCs w:val="21"/>
        </w:rPr>
        <w:t xml:space="preserve">For example, AI@UVA is paired with Engineering and Data Science, and the Manning Institute of Biotechnology is paired with the School of Medicine, so faculty and partners experience continuity between the school and its closely related institutes.</w:t>
      </w:r>
    </w:p>
    <w:p>
      <w:pPr>
        <w:pStyle w:val="ListParagraph"/>
        <w:numPr>
          <w:ilvl w:val="0"/>
          <w:numId w:val="2"/>
        </w:numPr>
        <w:spacing w:after="90"/>
      </w:pPr>
      <w:r>
        <w:rPr>
          <w:rFonts w:ascii="Calibri" w:cs="Calibri" w:eastAsia="Calibri" w:hAnsi="Calibri"/>
          <w:b/>
          <w:bCs/>
          <w:color w:val="1A1A1A"/>
          <w:sz w:val="21"/>
          <w:szCs w:val="21"/>
        </w:rPr>
        <w:t xml:space="preserve">Centers and initiatives with no natural school home are held as pan-university priorities, </w:t>
      </w:r>
      <w:r>
        <w:rPr>
          <w:rFonts w:ascii="Calibri" w:cs="Calibri" w:eastAsia="Calibri" w:hAnsi="Calibri"/>
          <w:color w:val="1A1A1A"/>
          <w:sz w:val="21"/>
          <w:szCs w:val="21"/>
        </w:rPr>
        <w:t xml:space="preserve">assessed case by case and assigned a lead based on the specific partner and theme in play (see “Pan-University Priorities” below).</w:t>
      </w:r>
    </w:p>
    <w:p>
      <w:pPr>
        <w:pStyle w:val="ListParagraph"/>
        <w:numPr>
          <w:ilvl w:val="0"/>
          <w:numId w:val="2"/>
        </w:numPr>
        <w:spacing w:after="90"/>
      </w:pPr>
      <w:r>
        <w:rPr>
          <w:rFonts w:ascii="Calibri" w:cs="Calibri" w:eastAsia="Calibri" w:hAnsi="Calibri"/>
          <w:b/>
          <w:bCs/>
          <w:color w:val="1A1A1A"/>
          <w:sz w:val="21"/>
          <w:szCs w:val="21"/>
        </w:rPr>
        <w:t xml:space="preserve">Both officers work collaboratively across placements as needed. </w:t>
      </w:r>
      <w:r>
        <w:rPr>
          <w:rFonts w:ascii="Calibri" w:cs="Calibri" w:eastAsia="Calibri" w:hAnsi="Calibri"/>
          <w:color w:val="1A1A1A"/>
          <w:sz w:val="21"/>
          <w:szCs w:val="21"/>
        </w:rPr>
        <w:t xml:space="preserve">No school or theme is siloed — high-value prospects with multi-school or multi-theme relevance are worked jointly with a designated lead.</w:t>
      </w:r>
    </w:p>
    <w:p>
      <w:pPr>
        <w:pStyle w:val="ListParagraph"/>
        <w:numPr>
          <w:ilvl w:val="0"/>
          <w:numId w:val="2"/>
        </w:numPr>
        <w:spacing w:after="90"/>
      </w:pPr>
      <w:r>
        <w:rPr>
          <w:rFonts w:ascii="Calibri" w:cs="Calibri" w:eastAsia="Calibri" w:hAnsi="Calibri"/>
          <w:color w:val="1A1A1A"/>
          <w:sz w:val="21"/>
          <w:szCs w:val="21"/>
        </w:rPr>
        <w:t xml:space="preserve">Team portfolios will align with school placements where possible; however, existing corporate relationships that predate this model may span placements and will continue to be managed collaboratively.</w:t>
      </w:r>
    </w:p>
    <w:p>
      <w:pPr>
        <w:pStyle w:val="ListParagraph"/>
        <w:numPr>
          <w:ilvl w:val="0"/>
          <w:numId w:val="2"/>
        </w:numPr>
        <w:spacing w:after="90"/>
      </w:pPr>
      <w:r>
        <w:rPr>
          <w:rFonts w:ascii="Calibri" w:cs="Calibri" w:eastAsia="Calibri" w:hAnsi="Calibri"/>
          <w:b/>
          <w:bCs/>
          <w:color w:val="1A1A1A"/>
          <w:sz w:val="21"/>
          <w:szCs w:val="21"/>
        </w:rPr>
        <w:t xml:space="preserve">The Health System is excluded from this model; </w:t>
      </w:r>
      <w:r>
        <w:rPr>
          <w:rFonts w:ascii="Calibri" w:cs="Calibri" w:eastAsia="Calibri" w:hAnsi="Calibri"/>
          <w:color w:val="1A1A1A"/>
          <w:sz w:val="21"/>
          <w:szCs w:val="21"/>
        </w:rPr>
        <w:t xml:space="preserve">Health-aligned corporate partnerships (Medical Center and Cancer Center clinical operations) are managed separately. Research-facing engagement tied to the Manning Institute, the Brain Institute, Nursing research, and the School of Medicine's research enterprise remains in scope.</w:t>
      </w:r>
    </w:p>
    <w:p>
      <w:pPr>
        <w:pStyle w:val="ListParagraph"/>
        <w:numPr>
          <w:ilvl w:val="0"/>
          <w:numId w:val="2"/>
        </w:numPr>
        <w:spacing w:after="90"/>
      </w:pPr>
      <w:r>
        <w:rPr>
          <w:rFonts w:ascii="Calibri" w:cs="Calibri" w:eastAsia="Calibri" w:hAnsi="Calibri"/>
          <w:color w:val="1A1A1A"/>
          <w:sz w:val="21"/>
          <w:szCs w:val="21"/>
        </w:rPr>
        <w:t xml:space="preserve">In the first year of this model, placements will be calibrated based on partner engagement data, proposal activity, and feedback from schools and research leadership — consistent with the calibration approach already underway for the FR liaison model and the CR thematic model.</w:t>
      </w:r>
    </w:p>
    <w:p>
      <w:pPr>
        <w:pStyle w:val="Heading1"/>
        <w:pBdr>
          <w:bottom w:val="single" w:color="CCCCCC" w:sz="4" w:space="4"/>
        </w:pBdr>
        <w:spacing w:after="120" w:before="280"/>
      </w:pPr>
      <w:r>
        <w:rPr>
          <w:rFonts w:ascii="Calibri" w:cs="Calibri" w:eastAsia="Calibri" w:hAnsi="Calibri"/>
          <w:b/>
          <w:bCs/>
          <w:color w:val="232D4B"/>
          <w:sz w:val="26"/>
          <w:szCs w:val="26"/>
        </w:rPr>
        <w:t xml:space="preserve">Assignment Expectations</w:t>
      </w:r>
    </w:p>
    <w:p>
      <w:pPr>
        <w:spacing w:after="140"/>
      </w:pPr>
      <w:r>
        <w:rPr>
          <w:rFonts w:ascii="Calibri" w:cs="Calibri" w:eastAsia="Calibri" w:hAnsi="Calibri"/>
          <w:b/>
          <w:bCs/>
          <w:color w:val="1A1A1A"/>
          <w:sz w:val="21"/>
          <w:szCs w:val="21"/>
        </w:rPr>
        <w:t xml:space="preserve">Officers will:</w:t>
      </w:r>
    </w:p>
    <w:p>
      <w:pPr>
        <w:pStyle w:val="ListParagraph"/>
        <w:numPr>
          <w:ilvl w:val="0"/>
          <w:numId w:val="2"/>
        </w:numPr>
        <w:spacing w:after="90"/>
      </w:pPr>
      <w:r>
        <w:rPr>
          <w:rFonts w:ascii="Calibri" w:cs="Calibri" w:eastAsia="Calibri" w:hAnsi="Calibri"/>
          <w:color w:val="1A1A1A"/>
          <w:sz w:val="21"/>
          <w:szCs w:val="21"/>
        </w:rPr>
        <w:t xml:space="preserve">Schedule initial intro/intake meetings with school deans' offices and unit development leads, and set up a recurring meeting to review funding needs, discuss prospects, and align on shared priorities.</w:t>
      </w:r>
    </w:p>
    <w:p>
      <w:pPr>
        <w:pStyle w:val="ListParagraph"/>
        <w:numPr>
          <w:ilvl w:val="0"/>
          <w:numId w:val="2"/>
        </w:numPr>
        <w:spacing w:after="90"/>
      </w:pPr>
      <w:r>
        <w:rPr>
          <w:rFonts w:ascii="Calibri" w:cs="Calibri" w:eastAsia="Calibri" w:hAnsi="Calibri"/>
          <w:color w:val="1A1A1A"/>
          <w:sz w:val="21"/>
          <w:szCs w:val="21"/>
        </w:rPr>
        <w:t xml:space="preserve">Maintain a working knowledge of faculty research activity, funded projects, and strategic priorities within the assigned school and its thematically aligned centers and institutes.</w:t>
      </w:r>
    </w:p>
    <w:p>
      <w:pPr>
        <w:pStyle w:val="ListParagraph"/>
        <w:numPr>
          <w:ilvl w:val="0"/>
          <w:numId w:val="2"/>
        </w:numPr>
        <w:spacing w:after="90"/>
      </w:pPr>
      <w:r>
        <w:rPr>
          <w:rFonts w:ascii="Calibri" w:cs="Calibri" w:eastAsia="Calibri" w:hAnsi="Calibri"/>
          <w:color w:val="1A1A1A"/>
          <w:sz w:val="21"/>
          <w:szCs w:val="21"/>
        </w:rPr>
        <w:t xml:space="preserve">Identify and qualify corporate prospects whose R&amp;D, philanthropic, or sponsored-research interests align with the school's research capacity.</w:t>
      </w:r>
    </w:p>
    <w:p>
      <w:pPr>
        <w:pStyle w:val="ListParagraph"/>
        <w:numPr>
          <w:ilvl w:val="0"/>
          <w:numId w:val="2"/>
        </w:numPr>
        <w:spacing w:after="90"/>
      </w:pPr>
      <w:r>
        <w:rPr>
          <w:rFonts w:ascii="Calibri" w:cs="Calibri" w:eastAsia="Calibri" w:hAnsi="Calibri"/>
          <w:color w:val="1A1A1A"/>
          <w:sz w:val="21"/>
          <w:szCs w:val="21"/>
        </w:rPr>
        <w:t xml:space="preserve">Coordinate with the Office of Sponsored Programs, UVA Licensing &amp; Ventures, and relevant VPR offices to avoid duplication and surface co-investment opportunities.</w:t>
      </w:r>
    </w:p>
    <w:p>
      <w:pPr>
        <w:pStyle w:val="ListParagraph"/>
        <w:numPr>
          <w:ilvl w:val="0"/>
          <w:numId w:val="2"/>
        </w:numPr>
        <w:spacing w:after="90"/>
      </w:pPr>
      <w:r>
        <w:rPr>
          <w:rFonts w:ascii="Calibri" w:cs="Calibri" w:eastAsia="Calibri" w:hAnsi="Calibri"/>
          <w:color w:val="1A1A1A"/>
          <w:sz w:val="21"/>
          <w:szCs w:val="21"/>
        </w:rPr>
        <w:t xml:space="preserve">Lead or co-lead introductory meetings between corporate partners and faculty, deans, or research leadership.</w:t>
      </w:r>
    </w:p>
    <w:p>
      <w:pPr>
        <w:pStyle w:val="ListParagraph"/>
        <w:numPr>
          <w:ilvl w:val="0"/>
          <w:numId w:val="2"/>
        </w:numPr>
        <w:spacing w:after="90"/>
      </w:pPr>
      <w:r>
        <w:rPr>
          <w:rFonts w:ascii="Calibri" w:cs="Calibri" w:eastAsia="Calibri" w:hAnsi="Calibri"/>
          <w:color w:val="1A1A1A"/>
          <w:sz w:val="21"/>
          <w:szCs w:val="21"/>
        </w:rPr>
        <w:t xml:space="preserve">Advise on corporate proposal strategy, negotiation posture, and relationship management for the assigned school and its aligned centers.</w:t>
      </w:r>
    </w:p>
    <w:p>
      <w:pPr>
        <w:pStyle w:val="ListParagraph"/>
        <w:numPr>
          <w:ilvl w:val="0"/>
          <w:numId w:val="2"/>
        </w:numPr>
        <w:spacing w:after="90"/>
      </w:pPr>
      <w:r>
        <w:rPr>
          <w:rFonts w:ascii="Calibri" w:cs="Calibri" w:eastAsia="Calibri" w:hAnsi="Calibri"/>
          <w:color w:val="1A1A1A"/>
          <w:sz w:val="21"/>
          <w:szCs w:val="21"/>
        </w:rPr>
        <w:t xml:space="preserve">Track federal funding announcements and agency priorities relevant to the school's theme lens to anticipate corporate co-investment conversations.</w:t>
      </w:r>
    </w:p>
    <w:p>
      <w:pPr>
        <w:pStyle w:val="ListParagraph"/>
        <w:numPr>
          <w:ilvl w:val="0"/>
          <w:numId w:val="2"/>
        </w:numPr>
        <w:spacing w:after="90"/>
      </w:pPr>
      <w:r>
        <w:rPr>
          <w:rFonts w:ascii="Calibri" w:cs="Calibri" w:eastAsia="Calibri" w:hAnsi="Calibri"/>
          <w:color w:val="1A1A1A"/>
          <w:sz w:val="21"/>
          <w:szCs w:val="21"/>
        </w:rPr>
        <w:t xml:space="preserve">Build and maintain a pipeline of school-aligned corporate prospects with clear next steps and solicitation timelines.</w:t>
      </w:r>
    </w:p>
    <w:p>
      <w:pPr>
        <w:pStyle w:val="ListParagraph"/>
        <w:numPr>
          <w:ilvl w:val="0"/>
          <w:numId w:val="2"/>
        </w:numPr>
        <w:spacing w:after="90"/>
      </w:pPr>
      <w:r>
        <w:rPr>
          <w:rFonts w:ascii="Calibri" w:cs="Calibri" w:eastAsia="Calibri" w:hAnsi="Calibri"/>
          <w:color w:val="1A1A1A"/>
          <w:sz w:val="21"/>
          <w:szCs w:val="21"/>
        </w:rPr>
        <w:t xml:space="preserve">Once the model is established, co-develop an annual corporate engagement plan for each school with its dean's office and research leadership.</w:t>
      </w:r>
    </w:p>
    <w:p>
      <w:pPr>
        <w:pStyle w:val="Heading1"/>
        <w:pBdr>
          <w:bottom w:val="single" w:color="CCCCCC" w:sz="4" w:space="4"/>
        </w:pBdr>
        <w:spacing w:after="120" w:before="280"/>
      </w:pPr>
      <w:r>
        <w:rPr>
          <w:rFonts w:ascii="Calibri" w:cs="Calibri" w:eastAsia="Calibri" w:hAnsi="Calibri"/>
          <w:b/>
          <w:bCs/>
          <w:color w:val="232D4B"/>
          <w:sz w:val="26"/>
          <w:szCs w:val="26"/>
        </w:rPr>
        <w:t xml:space="preserve">Corporate Relations School Placements (Effective September 2026)</w:t>
      </w:r>
    </w:p>
    <w:p>
      <w:pPr>
        <w:spacing w:after="100" w:before="200"/>
      </w:pPr>
      <w:r>
        <w:rPr>
          <w:rFonts w:ascii="Calibri" w:cs="Calibri" w:eastAsia="Calibri" w:hAnsi="Calibri"/>
          <w:b/>
          <w:bCs/>
          <w:color w:val="232D4B"/>
          <w:sz w:val="23"/>
          <w:szCs w:val="23"/>
        </w:rPr>
        <w:t xml:space="preserve">[Officer 1 Name]  —  Primary: Technology, Computing &amp; AI  |  Life Sciences, Biotech &amp; Health Innovation</w:t>
      </w:r>
    </w:p>
    <w:tbl>
      <w:tblPr>
        <w:tblW w:type="dxa" w:w="10600"/>
        <w:tblBorders>
          <w:top w:val="single" w:color="auto" w:sz="4"/>
          <w:left w:val="single" w:color="auto" w:sz="4"/>
          <w:bottom w:val="single" w:color="auto" w:sz="4"/>
          <w:right w:val="single" w:color="auto" w:sz="4"/>
          <w:insideH w:val="single" w:color="auto" w:sz="4"/>
          <w:insideV w:val="single" w:color="auto" w:sz="4"/>
        </w:tblBorders>
      </w:tblPr>
      <w:tblGrid>
        <w:gridCol w:w="3200"/>
        <w:gridCol w:w="4800"/>
        <w:gridCol w:w="2600"/>
      </w:tblGrid>
      <w:tr>
        <w:trPr>
          <w:tblHeader/>
        </w:trPr>
        <w:tc>
          <w:tcPr>
            <w:tcW w:type="dxa" w:w="3200"/>
            <w:shd w:fill="232D4B" w:color="auto" w:val="clear"/>
            <w:tcMar>
              <w:top w:type="dxa" w:w="80"/>
              <w:left w:type="dxa" w:w="100"/>
              <w:bottom w:type="dxa" w:w="80"/>
              <w:right w:type="dxa" w:w="100"/>
            </w:tcMar>
          </w:tcPr>
          <w:p>
            <w:pPr>
              <w:jc w:val="left"/>
            </w:pPr>
            <w:r>
              <w:rPr>
                <w:rFonts w:ascii="Calibri" w:cs="Calibri" w:eastAsia="Calibri" w:hAnsi="Calibri"/>
                <w:b/>
                <w:bCs/>
                <w:color w:val="FFFFFF"/>
                <w:sz w:val="20"/>
                <w:szCs w:val="20"/>
              </w:rPr>
              <w:t xml:space="preserve">School / Unit</w:t>
            </w:r>
          </w:p>
        </w:tc>
        <w:tc>
          <w:tcPr>
            <w:tcW w:type="dxa" w:w="4800"/>
            <w:shd w:fill="232D4B" w:color="auto" w:val="clear"/>
            <w:tcMar>
              <w:top w:type="dxa" w:w="80"/>
              <w:left w:type="dxa" w:w="100"/>
              <w:bottom w:type="dxa" w:w="80"/>
              <w:right w:type="dxa" w:w="100"/>
            </w:tcMar>
          </w:tcPr>
          <w:p>
            <w:pPr>
              <w:jc w:val="left"/>
            </w:pPr>
            <w:r>
              <w:rPr>
                <w:rFonts w:ascii="Calibri" w:cs="Calibri" w:eastAsia="Calibri" w:hAnsi="Calibri"/>
                <w:b/>
                <w:bCs/>
                <w:color w:val="FFFFFF"/>
                <w:sz w:val="20"/>
                <w:szCs w:val="20"/>
              </w:rPr>
              <w:t xml:space="preserve">Aligned Centers, Institutes &amp; Pan-University Priorities</w:t>
            </w:r>
          </w:p>
        </w:tc>
        <w:tc>
          <w:tcPr>
            <w:tcW w:type="dxa" w:w="2600"/>
            <w:shd w:fill="232D4B" w:color="auto" w:val="clear"/>
            <w:tcMar>
              <w:top w:type="dxa" w:w="80"/>
              <w:left w:type="dxa" w:w="100"/>
              <w:bottom w:type="dxa" w:w="80"/>
              <w:right w:type="dxa" w:w="100"/>
            </w:tcMar>
          </w:tcPr>
          <w:p>
            <w:pPr>
              <w:jc w:val="left"/>
            </w:pPr>
            <w:r>
              <w:rPr>
                <w:rFonts w:ascii="Calibri" w:cs="Calibri" w:eastAsia="Calibri" w:hAnsi="Calibri"/>
                <w:b/>
                <w:bCs/>
                <w:color w:val="FFFFFF"/>
                <w:sz w:val="20"/>
                <w:szCs w:val="20"/>
              </w:rPr>
              <w:t xml:space="preserve">Theme Lens (from CR Thematic Model)</w:t>
            </w:r>
          </w:p>
        </w:tc>
      </w:tr>
      <w:tr>
        <w:tc>
          <w:tcPr>
            <w:tcW w:type="dxa" w:w="3200"/>
            <w:shd w:fill="FFFFFF" w:color="auto" w:val="clear"/>
            <w:tcMar>
              <w:top w:type="dxa" w:w="80"/>
              <w:left w:type="dxa" w:w="100"/>
              <w:bottom w:type="dxa" w:w="80"/>
              <w:right w:type="dxa" w:w="100"/>
            </w:tcMar>
          </w:tcPr>
          <w:p>
            <w:pPr>
              <w:jc w:val="left"/>
            </w:pPr>
            <w:r>
              <w:rPr>
                <w:rFonts w:ascii="Calibri" w:cs="Calibri" w:eastAsia="Calibri" w:hAnsi="Calibri"/>
                <w:b/>
                <w:bCs/>
                <w:color w:val="1A1A1A"/>
                <w:sz w:val="20"/>
                <w:szCs w:val="20"/>
              </w:rPr>
              <w:t xml:space="preserve">School of Engineering</w:t>
            </w:r>
          </w:p>
        </w:tc>
        <w:tc>
          <w:tcPr>
            <w:tcW w:type="dxa" w:w="4800"/>
            <w:shd w:fill="FFFFFF" w:color="auto" w:val="clear"/>
            <w:tcMar>
              <w:top w:type="dxa" w:w="80"/>
              <w:left w:type="dxa" w:w="100"/>
              <w:bottom w:type="dxa" w:w="80"/>
              <w:right w:type="dxa" w:w="100"/>
            </w:tcMar>
          </w:tcPr>
          <w:p>
            <w:pPr>
              <w:jc w:val="left"/>
            </w:pPr>
            <w:r>
              <w:rPr>
                <w:rFonts w:ascii="Calibri" w:cs="Calibri" w:eastAsia="Calibri" w:hAnsi="Calibri"/>
                <w:b w:val="false"/>
                <w:bCs w:val="false"/>
                <w:color w:val="1A1A1A"/>
                <w:sz w:val="20"/>
                <w:szCs w:val="20"/>
              </w:rPr>
              <w:t xml:space="preserve">AI@UVA (Provost) — joint with Data Science; Biocomplexity Institute (computing/data systems angle) — joint with Officer 2 on environmental applications</w:t>
            </w:r>
          </w:p>
        </w:tc>
        <w:tc>
          <w:tcPr>
            <w:tcW w:type="dxa" w:w="2600"/>
            <w:shd w:fill="FFFFFF" w:color="auto" w:val="clear"/>
            <w:tcMar>
              <w:top w:type="dxa" w:w="80"/>
              <w:left w:type="dxa" w:w="100"/>
              <w:bottom w:type="dxa" w:w="80"/>
              <w:right w:type="dxa" w:w="100"/>
            </w:tcMar>
          </w:tcPr>
          <w:p>
            <w:pPr>
              <w:jc w:val="left"/>
            </w:pPr>
            <w:r>
              <w:rPr>
                <w:rFonts w:ascii="Calibri" w:cs="Calibri" w:eastAsia="Calibri" w:hAnsi="Calibri"/>
                <w:b w:val="false"/>
                <w:bCs w:val="false"/>
                <w:color w:val="555555"/>
                <w:sz w:val="20"/>
                <w:szCs w:val="20"/>
              </w:rPr>
              <w:t xml:space="preserve">Technology, Computing &amp; AI</w:t>
            </w:r>
          </w:p>
        </w:tc>
      </w:tr>
      <w:tr>
        <w:tc>
          <w:tcPr>
            <w:tcW w:type="dxa" w:w="3200"/>
            <w:shd w:fill="F2F2F2" w:color="auto" w:val="clear"/>
            <w:tcMar>
              <w:top w:type="dxa" w:w="80"/>
              <w:left w:type="dxa" w:w="100"/>
              <w:bottom w:type="dxa" w:w="80"/>
              <w:right w:type="dxa" w:w="100"/>
            </w:tcMar>
          </w:tcPr>
          <w:p>
            <w:pPr>
              <w:jc w:val="left"/>
            </w:pPr>
            <w:r>
              <w:rPr>
                <w:rFonts w:ascii="Calibri" w:cs="Calibri" w:eastAsia="Calibri" w:hAnsi="Calibri"/>
                <w:b/>
                <w:bCs/>
                <w:color w:val="1A1A1A"/>
                <w:sz w:val="20"/>
                <w:szCs w:val="20"/>
              </w:rPr>
              <w:t xml:space="preserve">School of Data Science</w:t>
            </w:r>
          </w:p>
        </w:tc>
        <w:tc>
          <w:tcPr>
            <w:tcW w:type="dxa" w:w="4800"/>
            <w:shd w:fill="F2F2F2" w:color="auto" w:val="clear"/>
            <w:tcMar>
              <w:top w:type="dxa" w:w="80"/>
              <w:left w:type="dxa" w:w="100"/>
              <w:bottom w:type="dxa" w:w="80"/>
              <w:right w:type="dxa" w:w="100"/>
            </w:tcMar>
          </w:tcPr>
          <w:p>
            <w:pPr>
              <w:jc w:val="left"/>
            </w:pPr>
            <w:r>
              <w:rPr>
                <w:rFonts w:ascii="Calibri" w:cs="Calibri" w:eastAsia="Calibri" w:hAnsi="Calibri"/>
                <w:b w:val="false"/>
                <w:bCs w:val="false"/>
                <w:color w:val="1A1A1A"/>
                <w:sz w:val="20"/>
                <w:szCs w:val="20"/>
              </w:rPr>
              <w:t xml:space="preserve">AI@UVA (Provost) — joint with Engineering</w:t>
            </w:r>
          </w:p>
        </w:tc>
        <w:tc>
          <w:tcPr>
            <w:tcW w:type="dxa" w:w="2600"/>
            <w:shd w:fill="F2F2F2" w:color="auto" w:val="clear"/>
            <w:tcMar>
              <w:top w:type="dxa" w:w="80"/>
              <w:left w:type="dxa" w:w="100"/>
              <w:bottom w:type="dxa" w:w="80"/>
              <w:right w:type="dxa" w:w="100"/>
            </w:tcMar>
          </w:tcPr>
          <w:p>
            <w:pPr>
              <w:jc w:val="left"/>
            </w:pPr>
            <w:r>
              <w:rPr>
                <w:rFonts w:ascii="Calibri" w:cs="Calibri" w:eastAsia="Calibri" w:hAnsi="Calibri"/>
                <w:b w:val="false"/>
                <w:bCs w:val="false"/>
                <w:color w:val="555555"/>
                <w:sz w:val="20"/>
                <w:szCs w:val="20"/>
              </w:rPr>
              <w:t xml:space="preserve">Technology, Computing &amp; AI</w:t>
            </w:r>
          </w:p>
        </w:tc>
      </w:tr>
      <w:tr>
        <w:tc>
          <w:tcPr>
            <w:tcW w:type="dxa" w:w="3200"/>
            <w:shd w:fill="FFFFFF" w:color="auto" w:val="clear"/>
            <w:tcMar>
              <w:top w:type="dxa" w:w="80"/>
              <w:left w:type="dxa" w:w="100"/>
              <w:bottom w:type="dxa" w:w="80"/>
              <w:right w:type="dxa" w:w="100"/>
            </w:tcMar>
          </w:tcPr>
          <w:p>
            <w:pPr>
              <w:jc w:val="left"/>
            </w:pPr>
            <w:r>
              <w:rPr>
                <w:rFonts w:ascii="Calibri" w:cs="Calibri" w:eastAsia="Calibri" w:hAnsi="Calibri"/>
                <w:b/>
                <w:bCs/>
                <w:color w:val="1A1A1A"/>
                <w:sz w:val="20"/>
                <w:szCs w:val="20"/>
              </w:rPr>
              <w:t xml:space="preserve">School of Medicine (research enterprise)</w:t>
            </w:r>
          </w:p>
        </w:tc>
        <w:tc>
          <w:tcPr>
            <w:tcW w:type="dxa" w:w="4800"/>
            <w:shd w:fill="FFFFFF" w:color="auto" w:val="clear"/>
            <w:tcMar>
              <w:top w:type="dxa" w:w="80"/>
              <w:left w:type="dxa" w:w="100"/>
              <w:bottom w:type="dxa" w:w="80"/>
              <w:right w:type="dxa" w:w="100"/>
            </w:tcMar>
          </w:tcPr>
          <w:p>
            <w:pPr>
              <w:jc w:val="left"/>
            </w:pPr>
            <w:r>
              <w:rPr>
                <w:rFonts w:ascii="Calibri" w:cs="Calibri" w:eastAsia="Calibri" w:hAnsi="Calibri"/>
                <w:b w:val="false"/>
                <w:bCs w:val="false"/>
                <w:color w:val="1A1A1A"/>
                <w:sz w:val="20"/>
                <w:szCs w:val="20"/>
              </w:rPr>
              <w:t xml:space="preserve">Manning Institute of Biotechnology; Brain Institute</w:t>
            </w:r>
          </w:p>
        </w:tc>
        <w:tc>
          <w:tcPr>
            <w:tcW w:type="dxa" w:w="2600"/>
            <w:shd w:fill="FFFFFF" w:color="auto" w:val="clear"/>
            <w:tcMar>
              <w:top w:type="dxa" w:w="80"/>
              <w:left w:type="dxa" w:w="100"/>
              <w:bottom w:type="dxa" w:w="80"/>
              <w:right w:type="dxa" w:w="100"/>
            </w:tcMar>
          </w:tcPr>
          <w:p>
            <w:pPr>
              <w:jc w:val="left"/>
            </w:pPr>
            <w:r>
              <w:rPr>
                <w:rFonts w:ascii="Calibri" w:cs="Calibri" w:eastAsia="Calibri" w:hAnsi="Calibri"/>
                <w:b w:val="false"/>
                <w:bCs w:val="false"/>
                <w:color w:val="555555"/>
                <w:sz w:val="20"/>
                <w:szCs w:val="20"/>
              </w:rPr>
              <w:t xml:space="preserve">Life Sciences, Biotech &amp; Health Innovation</w:t>
            </w:r>
          </w:p>
        </w:tc>
      </w:tr>
      <w:tr>
        <w:tc>
          <w:tcPr>
            <w:tcW w:type="dxa" w:w="3200"/>
            <w:shd w:fill="F2F2F2" w:color="auto" w:val="clear"/>
            <w:tcMar>
              <w:top w:type="dxa" w:w="80"/>
              <w:left w:type="dxa" w:w="100"/>
              <w:bottom w:type="dxa" w:w="80"/>
              <w:right w:type="dxa" w:w="100"/>
            </w:tcMar>
          </w:tcPr>
          <w:p>
            <w:pPr>
              <w:jc w:val="left"/>
            </w:pPr>
            <w:r>
              <w:rPr>
                <w:rFonts w:ascii="Calibri" w:cs="Calibri" w:eastAsia="Calibri" w:hAnsi="Calibri"/>
                <w:b/>
                <w:bCs/>
                <w:color w:val="1A1A1A"/>
                <w:sz w:val="20"/>
                <w:szCs w:val="20"/>
              </w:rPr>
              <w:t xml:space="preserve">School of Nursing (research enterprise)</w:t>
            </w:r>
          </w:p>
        </w:tc>
        <w:tc>
          <w:tcPr>
            <w:tcW w:type="dxa" w:w="4800"/>
            <w:shd w:fill="F2F2F2" w:color="auto" w:val="clear"/>
            <w:tcMar>
              <w:top w:type="dxa" w:w="80"/>
              <w:left w:type="dxa" w:w="100"/>
              <w:bottom w:type="dxa" w:w="80"/>
              <w:right w:type="dxa" w:w="100"/>
            </w:tcMar>
          </w:tcPr>
          <w:p>
            <w:pPr>
              <w:jc w:val="left"/>
            </w:pPr>
            <w:r>
              <w:rPr>
                <w:rFonts w:ascii="Calibri" w:cs="Calibri" w:eastAsia="Calibri" w:hAnsi="Calibri"/>
                <w:b w:val="false"/>
                <w:bCs w:val="false"/>
                <w:color w:val="1A1A1A"/>
                <w:sz w:val="20"/>
                <w:szCs w:val="20"/>
              </w:rPr>
              <w:t xml:space="preserve">Health equity, community/rural health, aging, and behavioral health research programs housed within Nursing</w:t>
            </w:r>
          </w:p>
        </w:tc>
        <w:tc>
          <w:tcPr>
            <w:tcW w:type="dxa" w:w="2600"/>
            <w:shd w:fill="F2F2F2" w:color="auto" w:val="clear"/>
            <w:tcMar>
              <w:top w:type="dxa" w:w="80"/>
              <w:left w:type="dxa" w:w="100"/>
              <w:bottom w:type="dxa" w:w="80"/>
              <w:right w:type="dxa" w:w="100"/>
            </w:tcMar>
          </w:tcPr>
          <w:p>
            <w:pPr>
              <w:jc w:val="left"/>
            </w:pPr>
            <w:r>
              <w:rPr>
                <w:rFonts w:ascii="Calibri" w:cs="Calibri" w:eastAsia="Calibri" w:hAnsi="Calibri"/>
                <w:b w:val="false"/>
                <w:bCs w:val="false"/>
                <w:color w:val="555555"/>
                <w:sz w:val="20"/>
                <w:szCs w:val="20"/>
              </w:rPr>
              <w:t xml:space="preserve">Life Sciences, Biotech &amp; Health Innovation</w:t>
            </w:r>
          </w:p>
        </w:tc>
      </w:tr>
    </w:tbl>
    <w:p>
      <w:pPr>
        <w:spacing w:after="200" w:before="100"/>
      </w:pPr>
    </w:p>
    <w:tbl>
      <w:tblPr>
        <w:tblW w:type="dxa" w:w="10600"/>
        <w:tblBorders>
          <w:top w:val="single" w:color="auto" w:sz="4"/>
          <w:left w:val="single" w:color="auto" w:sz="4"/>
          <w:bottom w:val="single" w:color="auto" w:sz="4"/>
          <w:right w:val="single" w:color="auto" w:sz="4"/>
          <w:insideH w:val="single" w:color="auto" w:sz="4"/>
          <w:insideV w:val="single" w:color="auto" w:sz="4"/>
        </w:tblBorders>
      </w:tblPr>
      <w:tblGrid>
        <w:gridCol w:w="3200"/>
        <w:gridCol w:w="4800"/>
        <w:gridCol w:w="2600"/>
      </w:tblGrid>
      <w:tr>
        <w:trPr>
          <w:tblHeader/>
        </w:trPr>
        <w:tc>
          <w:tcPr>
            <w:tcW w:type="dxa" w:w="3200"/>
            <w:shd w:fill="232D4B" w:color="auto" w:val="clear"/>
            <w:tcMar>
              <w:top w:type="dxa" w:w="80"/>
              <w:left w:type="dxa" w:w="100"/>
              <w:bottom w:type="dxa" w:w="80"/>
              <w:right w:type="dxa" w:w="100"/>
            </w:tcMar>
          </w:tcPr>
          <w:p>
            <w:pPr>
              <w:jc w:val="left"/>
            </w:pPr>
            <w:r>
              <w:rPr>
                <w:rFonts w:ascii="Calibri" w:cs="Calibri" w:eastAsia="Calibri" w:hAnsi="Calibri"/>
                <w:b/>
                <w:bCs/>
                <w:color w:val="FFFFFF"/>
                <w:sz w:val="20"/>
                <w:szCs w:val="20"/>
              </w:rPr>
              <w:t xml:space="preserve">School / Unit</w:t>
            </w:r>
          </w:p>
        </w:tc>
        <w:tc>
          <w:tcPr>
            <w:tcW w:type="dxa" w:w="4800"/>
            <w:shd w:fill="232D4B" w:color="auto" w:val="clear"/>
            <w:tcMar>
              <w:top w:type="dxa" w:w="80"/>
              <w:left w:type="dxa" w:w="100"/>
              <w:bottom w:type="dxa" w:w="80"/>
              <w:right w:type="dxa" w:w="100"/>
            </w:tcMar>
          </w:tcPr>
          <w:p>
            <w:pPr>
              <w:jc w:val="left"/>
            </w:pPr>
            <w:r>
              <w:rPr>
                <w:rFonts w:ascii="Calibri" w:cs="Calibri" w:eastAsia="Calibri" w:hAnsi="Calibri"/>
                <w:b/>
                <w:bCs/>
                <w:color w:val="FFFFFF"/>
                <w:sz w:val="20"/>
                <w:szCs w:val="20"/>
              </w:rPr>
              <w:t xml:space="preserve">Aligned Centers, Institutes &amp; Pan-University Priorities</w:t>
            </w:r>
          </w:p>
        </w:tc>
        <w:tc>
          <w:tcPr>
            <w:tcW w:type="dxa" w:w="2600"/>
            <w:shd w:fill="232D4B" w:color="auto" w:val="clear"/>
            <w:tcMar>
              <w:top w:type="dxa" w:w="80"/>
              <w:left w:type="dxa" w:w="100"/>
              <w:bottom w:type="dxa" w:w="80"/>
              <w:right w:type="dxa" w:w="100"/>
            </w:tcMar>
          </w:tcPr>
          <w:p>
            <w:pPr>
              <w:jc w:val="left"/>
            </w:pPr>
            <w:r>
              <w:rPr>
                <w:rFonts w:ascii="Calibri" w:cs="Calibri" w:eastAsia="Calibri" w:hAnsi="Calibri"/>
                <w:b/>
                <w:bCs/>
                <w:color w:val="FFFFFF"/>
                <w:sz w:val="20"/>
                <w:szCs w:val="20"/>
              </w:rPr>
              <w:t xml:space="preserve">Theme Lens (from CR Thematic Model)</w:t>
            </w:r>
          </w:p>
        </w:tc>
      </w:tr>
      <w:tr>
        <w:tc>
          <w:tcPr>
            <w:tcW w:type="dxa" w:w="3200"/>
            <w:shd w:fill="FFFFFF" w:color="auto" w:val="clear"/>
            <w:tcMar>
              <w:top w:type="dxa" w:w="80"/>
              <w:left w:type="dxa" w:w="100"/>
              <w:bottom w:type="dxa" w:w="80"/>
              <w:right w:type="dxa" w:w="100"/>
            </w:tcMar>
          </w:tcPr>
          <w:p>
            <w:pPr>
              <w:jc w:val="left"/>
            </w:pPr>
            <w:r>
              <w:rPr>
                <w:rFonts w:ascii="Calibri" w:cs="Calibri" w:eastAsia="Calibri" w:hAnsi="Calibri"/>
                <w:b/>
                <w:bCs/>
                <w:color w:val="1A1A1A"/>
                <w:sz w:val="20"/>
                <w:szCs w:val="20"/>
              </w:rPr>
              <w:t xml:space="preserve">Secondary support</w:t>
            </w:r>
          </w:p>
        </w:tc>
        <w:tc>
          <w:tcPr>
            <w:tcW w:type="dxa" w:w="4800"/>
            <w:shd w:fill="FFFFFF" w:color="auto" w:val="clear"/>
            <w:tcMar>
              <w:top w:type="dxa" w:w="80"/>
              <w:left w:type="dxa" w:w="100"/>
              <w:bottom w:type="dxa" w:w="80"/>
              <w:right w:type="dxa" w:w="100"/>
            </w:tcMar>
          </w:tcPr>
          <w:p>
            <w:pPr>
              <w:jc w:val="left"/>
            </w:pPr>
            <w:r>
              <w:rPr>
                <w:rFonts w:ascii="Calibri" w:cs="Calibri" w:eastAsia="Calibri" w:hAnsi="Calibri"/>
                <w:b w:val="false"/>
                <w:bCs w:val="false"/>
                <w:color w:val="1A1A1A"/>
                <w:sz w:val="20"/>
                <w:szCs w:val="20"/>
              </w:rPr>
              <w:t xml:space="preserve">School of Engineering energy systems research — clean tech and utility co-investment prospects, worked jointly with Officer 2</w:t>
            </w:r>
          </w:p>
        </w:tc>
        <w:tc>
          <w:tcPr>
            <w:tcW w:type="dxa" w:w="2600"/>
            <w:shd w:fill="FFFFFF" w:color="auto" w:val="clear"/>
            <w:tcMar>
              <w:top w:type="dxa" w:w="80"/>
              <w:left w:type="dxa" w:w="100"/>
              <w:bottom w:type="dxa" w:w="80"/>
              <w:right w:type="dxa" w:w="100"/>
            </w:tcMar>
          </w:tcPr>
          <w:p>
            <w:pPr>
              <w:jc w:val="left"/>
            </w:pPr>
            <w:r>
              <w:rPr>
                <w:rFonts w:ascii="Calibri" w:cs="Calibri" w:eastAsia="Calibri" w:hAnsi="Calibri"/>
                <w:b w:val="false"/>
                <w:bCs w:val="false"/>
                <w:color w:val="555555"/>
                <w:sz w:val="20"/>
                <w:szCs w:val="20"/>
              </w:rPr>
              <w:t xml:space="preserve">Energy, Environment &amp; Sustainability (secondary)</w:t>
            </w:r>
          </w:p>
        </w:tc>
      </w:tr>
    </w:tbl>
    <w:p>
      <w:pPr>
        <w:spacing w:after="100" w:before="200"/>
      </w:pPr>
      <w:r>
        <w:rPr>
          <w:rFonts w:ascii="Calibri" w:cs="Calibri" w:eastAsia="Calibri" w:hAnsi="Calibri"/>
          <w:b/>
          <w:bCs/>
          <w:color w:val="232D4B"/>
          <w:sz w:val="23"/>
          <w:szCs w:val="23"/>
        </w:rPr>
        <w:t xml:space="preserve">[Officer 2 Name]  —  Primary: Energy, Environment &amp; Sustainability  |  Democracy, Policy &amp; Social Innovation  |  Business, Commerce &amp; Emerging Markets</w:t>
      </w:r>
    </w:p>
    <w:tbl>
      <w:tblPr>
        <w:tblW w:type="dxa" w:w="10600"/>
        <w:tblBorders>
          <w:top w:val="single" w:color="auto" w:sz="4"/>
          <w:left w:val="single" w:color="auto" w:sz="4"/>
          <w:bottom w:val="single" w:color="auto" w:sz="4"/>
          <w:right w:val="single" w:color="auto" w:sz="4"/>
          <w:insideH w:val="single" w:color="auto" w:sz="4"/>
          <w:insideV w:val="single" w:color="auto" w:sz="4"/>
        </w:tblBorders>
      </w:tblPr>
      <w:tblGrid>
        <w:gridCol w:w="3200"/>
        <w:gridCol w:w="4800"/>
        <w:gridCol w:w="2600"/>
      </w:tblGrid>
      <w:tr>
        <w:trPr>
          <w:tblHeader/>
        </w:trPr>
        <w:tc>
          <w:tcPr>
            <w:tcW w:type="dxa" w:w="3200"/>
            <w:shd w:fill="232D4B" w:color="auto" w:val="clear"/>
            <w:tcMar>
              <w:top w:type="dxa" w:w="80"/>
              <w:left w:type="dxa" w:w="100"/>
              <w:bottom w:type="dxa" w:w="80"/>
              <w:right w:type="dxa" w:w="100"/>
            </w:tcMar>
          </w:tcPr>
          <w:p>
            <w:pPr>
              <w:jc w:val="left"/>
            </w:pPr>
            <w:r>
              <w:rPr>
                <w:rFonts w:ascii="Calibri" w:cs="Calibri" w:eastAsia="Calibri" w:hAnsi="Calibri"/>
                <w:b/>
                <w:bCs/>
                <w:color w:val="FFFFFF"/>
                <w:sz w:val="20"/>
                <w:szCs w:val="20"/>
              </w:rPr>
              <w:t xml:space="preserve">School / Unit</w:t>
            </w:r>
          </w:p>
        </w:tc>
        <w:tc>
          <w:tcPr>
            <w:tcW w:type="dxa" w:w="4800"/>
            <w:shd w:fill="232D4B" w:color="auto" w:val="clear"/>
            <w:tcMar>
              <w:top w:type="dxa" w:w="80"/>
              <w:left w:type="dxa" w:w="100"/>
              <w:bottom w:type="dxa" w:w="80"/>
              <w:right w:type="dxa" w:w="100"/>
            </w:tcMar>
          </w:tcPr>
          <w:p>
            <w:pPr>
              <w:jc w:val="left"/>
            </w:pPr>
            <w:r>
              <w:rPr>
                <w:rFonts w:ascii="Calibri" w:cs="Calibri" w:eastAsia="Calibri" w:hAnsi="Calibri"/>
                <w:b/>
                <w:bCs/>
                <w:color w:val="FFFFFF"/>
                <w:sz w:val="20"/>
                <w:szCs w:val="20"/>
              </w:rPr>
              <w:t xml:space="preserve">Aligned Centers, Institutes &amp; Pan-University Priorities</w:t>
            </w:r>
          </w:p>
        </w:tc>
        <w:tc>
          <w:tcPr>
            <w:tcW w:type="dxa" w:w="2600"/>
            <w:shd w:fill="232D4B" w:color="auto" w:val="clear"/>
            <w:tcMar>
              <w:top w:type="dxa" w:w="80"/>
              <w:left w:type="dxa" w:w="100"/>
              <w:bottom w:type="dxa" w:w="80"/>
              <w:right w:type="dxa" w:w="100"/>
            </w:tcMar>
          </w:tcPr>
          <w:p>
            <w:pPr>
              <w:jc w:val="left"/>
            </w:pPr>
            <w:r>
              <w:rPr>
                <w:rFonts w:ascii="Calibri" w:cs="Calibri" w:eastAsia="Calibri" w:hAnsi="Calibri"/>
                <w:b/>
                <w:bCs/>
                <w:color w:val="FFFFFF"/>
                <w:sz w:val="20"/>
                <w:szCs w:val="20"/>
              </w:rPr>
              <w:t xml:space="preserve">Theme Lens (from CR Thematic Model)</w:t>
            </w:r>
          </w:p>
        </w:tc>
      </w:tr>
      <w:tr>
        <w:tc>
          <w:tcPr>
            <w:tcW w:type="dxa" w:w="3200"/>
            <w:shd w:fill="FFFFFF" w:color="auto" w:val="clear"/>
            <w:tcMar>
              <w:top w:type="dxa" w:w="80"/>
              <w:left w:type="dxa" w:w="100"/>
              <w:bottom w:type="dxa" w:w="80"/>
              <w:right w:type="dxa" w:w="100"/>
            </w:tcMar>
          </w:tcPr>
          <w:p>
            <w:pPr>
              <w:jc w:val="left"/>
            </w:pPr>
            <w:r>
              <w:rPr>
                <w:rFonts w:ascii="Calibri" w:cs="Calibri" w:eastAsia="Calibri" w:hAnsi="Calibri"/>
                <w:b/>
                <w:bCs/>
                <w:color w:val="1A1A1A"/>
                <w:sz w:val="20"/>
                <w:szCs w:val="20"/>
              </w:rPr>
              <w:t xml:space="preserve">Architecture</w:t>
            </w:r>
          </w:p>
        </w:tc>
        <w:tc>
          <w:tcPr>
            <w:tcW w:type="dxa" w:w="4800"/>
            <w:shd w:fill="FFFFFF" w:color="auto" w:val="clear"/>
            <w:tcMar>
              <w:top w:type="dxa" w:w="80"/>
              <w:left w:type="dxa" w:w="100"/>
              <w:bottom w:type="dxa" w:w="80"/>
              <w:right w:type="dxa" w:w="100"/>
            </w:tcMar>
          </w:tcPr>
          <w:p>
            <w:pPr>
              <w:jc w:val="left"/>
            </w:pPr>
            <w:r>
              <w:rPr>
                <w:rFonts w:ascii="Calibri" w:cs="Calibri" w:eastAsia="Calibri" w:hAnsi="Calibri"/>
                <w:b w:val="false"/>
                <w:bCs w:val="false"/>
                <w:color w:val="1A1A1A"/>
                <w:sz w:val="20"/>
                <w:szCs w:val="20"/>
              </w:rPr>
              <w:t xml:space="preserve">Environmental Institute (built environment, sustainability, real estate, infrastructure) — joint with Officer 1 on Engineering energy systems</w:t>
            </w:r>
          </w:p>
        </w:tc>
        <w:tc>
          <w:tcPr>
            <w:tcW w:type="dxa" w:w="2600"/>
            <w:shd w:fill="FFFFFF" w:color="auto" w:val="clear"/>
            <w:tcMar>
              <w:top w:type="dxa" w:w="80"/>
              <w:left w:type="dxa" w:w="100"/>
              <w:bottom w:type="dxa" w:w="80"/>
              <w:right w:type="dxa" w:w="100"/>
            </w:tcMar>
          </w:tcPr>
          <w:p>
            <w:pPr>
              <w:jc w:val="left"/>
            </w:pPr>
            <w:r>
              <w:rPr>
                <w:rFonts w:ascii="Calibri" w:cs="Calibri" w:eastAsia="Calibri" w:hAnsi="Calibri"/>
                <w:b w:val="false"/>
                <w:bCs w:val="false"/>
                <w:color w:val="555555"/>
                <w:sz w:val="20"/>
                <w:szCs w:val="20"/>
              </w:rPr>
              <w:t xml:space="preserve">Energy, Environment &amp; Sustainability</w:t>
            </w:r>
          </w:p>
        </w:tc>
      </w:tr>
      <w:tr>
        <w:tc>
          <w:tcPr>
            <w:tcW w:type="dxa" w:w="3200"/>
            <w:shd w:fill="F2F2F2" w:color="auto" w:val="clear"/>
            <w:tcMar>
              <w:top w:type="dxa" w:w="80"/>
              <w:left w:type="dxa" w:w="100"/>
              <w:bottom w:type="dxa" w:w="80"/>
              <w:right w:type="dxa" w:w="100"/>
            </w:tcMar>
          </w:tcPr>
          <w:p>
            <w:pPr>
              <w:jc w:val="left"/>
            </w:pPr>
            <w:r>
              <w:rPr>
                <w:rFonts w:ascii="Calibri" w:cs="Calibri" w:eastAsia="Calibri" w:hAnsi="Calibri"/>
                <w:b/>
                <w:bCs/>
                <w:color w:val="1A1A1A"/>
                <w:sz w:val="20"/>
                <w:szCs w:val="20"/>
              </w:rPr>
              <w:t xml:space="preserve">Batten School</w:t>
            </w:r>
          </w:p>
        </w:tc>
        <w:tc>
          <w:tcPr>
            <w:tcW w:type="dxa" w:w="4800"/>
            <w:shd w:fill="F2F2F2" w:color="auto" w:val="clear"/>
            <w:tcMar>
              <w:top w:type="dxa" w:w="80"/>
              <w:left w:type="dxa" w:w="100"/>
              <w:bottom w:type="dxa" w:w="80"/>
              <w:right w:type="dxa" w:w="100"/>
            </w:tcMar>
          </w:tcPr>
          <w:p>
            <w:pPr>
              <w:jc w:val="left"/>
            </w:pPr>
            <w:r>
              <w:rPr>
                <w:rFonts w:ascii="Calibri" w:cs="Calibri" w:eastAsia="Calibri" w:hAnsi="Calibri"/>
                <w:b w:val="false"/>
                <w:bCs w:val="false"/>
                <w:color w:val="1A1A1A"/>
                <w:sz w:val="20"/>
                <w:szCs w:val="20"/>
              </w:rPr>
              <w:t xml:space="preserve">Karsh Institute for Democracy (incl. Weldon Cooper Center); Miller Center; Center for Politics</w:t>
            </w:r>
          </w:p>
        </w:tc>
        <w:tc>
          <w:tcPr>
            <w:tcW w:type="dxa" w:w="2600"/>
            <w:shd w:fill="F2F2F2" w:color="auto" w:val="clear"/>
            <w:tcMar>
              <w:top w:type="dxa" w:w="80"/>
              <w:left w:type="dxa" w:w="100"/>
              <w:bottom w:type="dxa" w:w="80"/>
              <w:right w:type="dxa" w:w="100"/>
            </w:tcMar>
          </w:tcPr>
          <w:p>
            <w:pPr>
              <w:jc w:val="left"/>
            </w:pPr>
            <w:r>
              <w:rPr>
                <w:rFonts w:ascii="Calibri" w:cs="Calibri" w:eastAsia="Calibri" w:hAnsi="Calibri"/>
                <w:b w:val="false"/>
                <w:bCs w:val="false"/>
                <w:color w:val="555555"/>
                <w:sz w:val="20"/>
                <w:szCs w:val="20"/>
              </w:rPr>
              <w:t xml:space="preserve">Democracy, Policy &amp; Social Innovation</w:t>
            </w:r>
          </w:p>
        </w:tc>
      </w:tr>
      <w:tr>
        <w:tc>
          <w:tcPr>
            <w:tcW w:type="dxa" w:w="3200"/>
            <w:shd w:fill="FFFFFF" w:color="auto" w:val="clear"/>
            <w:tcMar>
              <w:top w:type="dxa" w:w="80"/>
              <w:left w:type="dxa" w:w="100"/>
              <w:bottom w:type="dxa" w:w="80"/>
              <w:right w:type="dxa" w:w="100"/>
            </w:tcMar>
          </w:tcPr>
          <w:p>
            <w:pPr>
              <w:jc w:val="left"/>
            </w:pPr>
            <w:r>
              <w:rPr>
                <w:rFonts w:ascii="Calibri" w:cs="Calibri" w:eastAsia="Calibri" w:hAnsi="Calibri"/>
                <w:b/>
                <w:bCs/>
                <w:color w:val="1A1A1A"/>
                <w:sz w:val="20"/>
                <w:szCs w:val="20"/>
              </w:rPr>
              <w:t xml:space="preserve">School of Law</w:t>
            </w:r>
          </w:p>
        </w:tc>
        <w:tc>
          <w:tcPr>
            <w:tcW w:type="dxa" w:w="4800"/>
            <w:shd w:fill="FFFFFF" w:color="auto" w:val="clear"/>
            <w:tcMar>
              <w:top w:type="dxa" w:w="80"/>
              <w:left w:type="dxa" w:w="100"/>
              <w:bottom w:type="dxa" w:w="80"/>
              <w:right w:type="dxa" w:w="100"/>
            </w:tcMar>
          </w:tcPr>
          <w:p>
            <w:pPr>
              <w:jc w:val="left"/>
            </w:pPr>
            <w:r>
              <w:rPr>
                <w:rFonts w:ascii="Calibri" w:cs="Calibri" w:eastAsia="Calibri" w:hAnsi="Calibri"/>
                <w:b w:val="false"/>
                <w:bCs w:val="false"/>
                <w:color w:val="1A1A1A"/>
                <w:sz w:val="20"/>
                <w:szCs w:val="20"/>
              </w:rPr>
              <w:t xml:space="preserve">Education Rights Institute — joint with EHD</w:t>
            </w:r>
          </w:p>
        </w:tc>
        <w:tc>
          <w:tcPr>
            <w:tcW w:type="dxa" w:w="2600"/>
            <w:shd w:fill="FFFFFF" w:color="auto" w:val="clear"/>
            <w:tcMar>
              <w:top w:type="dxa" w:w="80"/>
              <w:left w:type="dxa" w:w="100"/>
              <w:bottom w:type="dxa" w:w="80"/>
              <w:right w:type="dxa" w:w="100"/>
            </w:tcMar>
          </w:tcPr>
          <w:p>
            <w:pPr>
              <w:jc w:val="left"/>
            </w:pPr>
            <w:r>
              <w:rPr>
                <w:rFonts w:ascii="Calibri" w:cs="Calibri" w:eastAsia="Calibri" w:hAnsi="Calibri"/>
                <w:b w:val="false"/>
                <w:bCs w:val="false"/>
                <w:color w:val="555555"/>
                <w:sz w:val="20"/>
                <w:szCs w:val="20"/>
              </w:rPr>
              <w:t xml:space="preserve">Democracy, Policy &amp; Social Innovation</w:t>
            </w:r>
          </w:p>
        </w:tc>
      </w:tr>
      <w:tr>
        <w:tc>
          <w:tcPr>
            <w:tcW w:type="dxa" w:w="3200"/>
            <w:shd w:fill="F2F2F2" w:color="auto" w:val="clear"/>
            <w:tcMar>
              <w:top w:type="dxa" w:w="80"/>
              <w:left w:type="dxa" w:w="100"/>
              <w:bottom w:type="dxa" w:w="80"/>
              <w:right w:type="dxa" w:w="100"/>
            </w:tcMar>
          </w:tcPr>
          <w:p>
            <w:pPr>
              <w:jc w:val="left"/>
            </w:pPr>
            <w:r>
              <w:rPr>
                <w:rFonts w:ascii="Calibri" w:cs="Calibri" w:eastAsia="Calibri" w:hAnsi="Calibri"/>
                <w:b/>
                <w:bCs/>
                <w:color w:val="1A1A1A"/>
                <w:sz w:val="20"/>
                <w:szCs w:val="20"/>
              </w:rPr>
              <w:t xml:space="preserve">School of Education &amp; Human Development (EHD)</w:t>
            </w:r>
          </w:p>
        </w:tc>
        <w:tc>
          <w:tcPr>
            <w:tcW w:type="dxa" w:w="4800"/>
            <w:shd w:fill="F2F2F2" w:color="auto" w:val="clear"/>
            <w:tcMar>
              <w:top w:type="dxa" w:w="80"/>
              <w:left w:type="dxa" w:w="100"/>
              <w:bottom w:type="dxa" w:w="80"/>
              <w:right w:type="dxa" w:w="100"/>
            </w:tcMar>
          </w:tcPr>
          <w:p>
            <w:pPr>
              <w:jc w:val="left"/>
            </w:pPr>
            <w:r>
              <w:rPr>
                <w:rFonts w:ascii="Calibri" w:cs="Calibri" w:eastAsia="Calibri" w:hAnsi="Calibri"/>
                <w:b w:val="false"/>
                <w:bCs w:val="false"/>
                <w:color w:val="1A1A1A"/>
                <w:sz w:val="20"/>
                <w:szCs w:val="20"/>
              </w:rPr>
              <w:t xml:space="preserve">Education Rights Institute — joint with Law</w:t>
            </w:r>
          </w:p>
        </w:tc>
        <w:tc>
          <w:tcPr>
            <w:tcW w:type="dxa" w:w="2600"/>
            <w:shd w:fill="F2F2F2" w:color="auto" w:val="clear"/>
            <w:tcMar>
              <w:top w:type="dxa" w:w="80"/>
              <w:left w:type="dxa" w:w="100"/>
              <w:bottom w:type="dxa" w:w="80"/>
              <w:right w:type="dxa" w:w="100"/>
            </w:tcMar>
          </w:tcPr>
          <w:p>
            <w:pPr>
              <w:jc w:val="left"/>
            </w:pPr>
            <w:r>
              <w:rPr>
                <w:rFonts w:ascii="Calibri" w:cs="Calibri" w:eastAsia="Calibri" w:hAnsi="Calibri"/>
                <w:b w:val="false"/>
                <w:bCs w:val="false"/>
                <w:color w:val="555555"/>
                <w:sz w:val="20"/>
                <w:szCs w:val="20"/>
              </w:rPr>
              <w:t xml:space="preserve">Democracy, Policy &amp; Social Innovation</w:t>
            </w:r>
          </w:p>
        </w:tc>
      </w:tr>
      <w:tr>
        <w:tc>
          <w:tcPr>
            <w:tcW w:type="dxa" w:w="3200"/>
            <w:shd w:fill="FFFFFF" w:color="auto" w:val="clear"/>
            <w:tcMar>
              <w:top w:type="dxa" w:w="80"/>
              <w:left w:type="dxa" w:w="100"/>
              <w:bottom w:type="dxa" w:w="80"/>
              <w:right w:type="dxa" w:w="100"/>
            </w:tcMar>
          </w:tcPr>
          <w:p>
            <w:pPr>
              <w:jc w:val="left"/>
            </w:pPr>
            <w:r>
              <w:rPr>
                <w:rFonts w:ascii="Calibri" w:cs="Calibri" w:eastAsia="Calibri" w:hAnsi="Calibri"/>
                <w:b/>
                <w:bCs/>
                <w:color w:val="1A1A1A"/>
                <w:sz w:val="20"/>
                <w:szCs w:val="20"/>
              </w:rPr>
              <w:t xml:space="preserve">Darden School of Business</w:t>
            </w:r>
          </w:p>
        </w:tc>
        <w:tc>
          <w:tcPr>
            <w:tcW w:type="dxa" w:w="4800"/>
            <w:shd w:fill="FFFFFF" w:color="auto" w:val="clear"/>
            <w:tcMar>
              <w:top w:type="dxa" w:w="80"/>
              <w:left w:type="dxa" w:w="100"/>
              <w:bottom w:type="dxa" w:w="80"/>
              <w:right w:type="dxa" w:w="100"/>
            </w:tcMar>
          </w:tcPr>
          <w:p>
            <w:pPr>
              <w:jc w:val="left"/>
            </w:pPr>
            <w:r>
              <w:rPr>
                <w:rFonts w:ascii="Calibri" w:cs="Calibri" w:eastAsia="Calibri" w:hAnsi="Calibri"/>
                <w:b w:val="false"/>
                <w:bCs w:val="false"/>
                <w:color w:val="1A1A1A"/>
                <w:sz w:val="20"/>
                <w:szCs w:val="20"/>
              </w:rPr>
              <w:t xml:space="preserve">Executive education partnerships, corporate philanthropy, applied research</w:t>
            </w:r>
          </w:p>
        </w:tc>
        <w:tc>
          <w:tcPr>
            <w:tcW w:type="dxa" w:w="2600"/>
            <w:shd w:fill="FFFFFF" w:color="auto" w:val="clear"/>
            <w:tcMar>
              <w:top w:type="dxa" w:w="80"/>
              <w:left w:type="dxa" w:w="100"/>
              <w:bottom w:type="dxa" w:w="80"/>
              <w:right w:type="dxa" w:w="100"/>
            </w:tcMar>
          </w:tcPr>
          <w:p>
            <w:pPr>
              <w:jc w:val="left"/>
            </w:pPr>
            <w:r>
              <w:rPr>
                <w:rFonts w:ascii="Calibri" w:cs="Calibri" w:eastAsia="Calibri" w:hAnsi="Calibri"/>
                <w:b w:val="false"/>
                <w:bCs w:val="false"/>
                <w:color w:val="555555"/>
                <w:sz w:val="20"/>
                <w:szCs w:val="20"/>
              </w:rPr>
              <w:t xml:space="preserve">Business, Commerce &amp; Emerging Markets</w:t>
            </w:r>
          </w:p>
        </w:tc>
      </w:tr>
      <w:tr>
        <w:tc>
          <w:tcPr>
            <w:tcW w:type="dxa" w:w="3200"/>
            <w:shd w:fill="F2F2F2" w:color="auto" w:val="clear"/>
            <w:tcMar>
              <w:top w:type="dxa" w:w="80"/>
              <w:left w:type="dxa" w:w="100"/>
              <w:bottom w:type="dxa" w:w="80"/>
              <w:right w:type="dxa" w:w="100"/>
            </w:tcMar>
          </w:tcPr>
          <w:p>
            <w:pPr>
              <w:jc w:val="left"/>
            </w:pPr>
            <w:r>
              <w:rPr>
                <w:rFonts w:ascii="Calibri" w:cs="Calibri" w:eastAsia="Calibri" w:hAnsi="Calibri"/>
                <w:b/>
                <w:bCs/>
                <w:color w:val="1A1A1A"/>
                <w:sz w:val="20"/>
                <w:szCs w:val="20"/>
              </w:rPr>
              <w:t xml:space="preserve">McIntire School of Commerce</w:t>
            </w:r>
          </w:p>
        </w:tc>
        <w:tc>
          <w:tcPr>
            <w:tcW w:type="dxa" w:w="4800"/>
            <w:shd w:fill="F2F2F2" w:color="auto" w:val="clear"/>
            <w:tcMar>
              <w:top w:type="dxa" w:w="80"/>
              <w:left w:type="dxa" w:w="100"/>
              <w:bottom w:type="dxa" w:w="80"/>
              <w:right w:type="dxa" w:w="100"/>
            </w:tcMar>
          </w:tcPr>
          <w:p>
            <w:pPr>
              <w:jc w:val="left"/>
            </w:pPr>
            <w:r>
              <w:rPr>
                <w:rFonts w:ascii="Calibri" w:cs="Calibri" w:eastAsia="Calibri" w:hAnsi="Calibri"/>
                <w:b w:val="false"/>
                <w:bCs w:val="false"/>
                <w:color w:val="1A1A1A"/>
                <w:sz w:val="20"/>
                <w:szCs w:val="20"/>
              </w:rPr>
              <w:t xml:space="preserve">Financial services, consulting, emerging-markets corporate engagement</w:t>
            </w:r>
          </w:p>
        </w:tc>
        <w:tc>
          <w:tcPr>
            <w:tcW w:type="dxa" w:w="2600"/>
            <w:shd w:fill="F2F2F2" w:color="auto" w:val="clear"/>
            <w:tcMar>
              <w:top w:type="dxa" w:w="80"/>
              <w:left w:type="dxa" w:w="100"/>
              <w:bottom w:type="dxa" w:w="80"/>
              <w:right w:type="dxa" w:w="100"/>
            </w:tcMar>
          </w:tcPr>
          <w:p>
            <w:pPr>
              <w:jc w:val="left"/>
            </w:pPr>
            <w:r>
              <w:rPr>
                <w:rFonts w:ascii="Calibri" w:cs="Calibri" w:eastAsia="Calibri" w:hAnsi="Calibri"/>
                <w:b w:val="false"/>
                <w:bCs w:val="false"/>
                <w:color w:val="555555"/>
                <w:sz w:val="20"/>
                <w:szCs w:val="20"/>
              </w:rPr>
              <w:t xml:space="preserve">Business, Commerce &amp; Emerging Markets</w:t>
            </w:r>
          </w:p>
        </w:tc>
      </w:tr>
      <w:tr>
        <w:tc>
          <w:tcPr>
            <w:tcW w:type="dxa" w:w="3200"/>
            <w:shd w:fill="FFFFFF" w:color="auto" w:val="clear"/>
            <w:tcMar>
              <w:top w:type="dxa" w:w="80"/>
              <w:left w:type="dxa" w:w="100"/>
              <w:bottom w:type="dxa" w:w="80"/>
              <w:right w:type="dxa" w:w="100"/>
            </w:tcMar>
          </w:tcPr>
          <w:p>
            <w:pPr>
              <w:jc w:val="left"/>
            </w:pPr>
            <w:r>
              <w:rPr>
                <w:rFonts w:ascii="Calibri" w:cs="Calibri" w:eastAsia="Calibri" w:hAnsi="Calibri"/>
                <w:b/>
                <w:bCs/>
                <w:color w:val="1A1A1A"/>
                <w:sz w:val="20"/>
                <w:szCs w:val="20"/>
              </w:rPr>
              <w:t xml:space="preserve">School of Continuing &amp; Professional Studies</w:t>
            </w:r>
          </w:p>
        </w:tc>
        <w:tc>
          <w:tcPr>
            <w:tcW w:type="dxa" w:w="4800"/>
            <w:shd w:fill="FFFFFF" w:color="auto" w:val="clear"/>
            <w:tcMar>
              <w:top w:type="dxa" w:w="80"/>
              <w:left w:type="dxa" w:w="100"/>
              <w:bottom w:type="dxa" w:w="80"/>
              <w:right w:type="dxa" w:w="100"/>
            </w:tcMar>
          </w:tcPr>
          <w:p>
            <w:pPr>
              <w:jc w:val="left"/>
            </w:pPr>
            <w:r>
              <w:rPr>
                <w:rFonts w:ascii="Calibri" w:cs="Calibri" w:eastAsia="Calibri" w:hAnsi="Calibri"/>
                <w:b w:val="false"/>
                <w:bCs w:val="false"/>
                <w:color w:val="1A1A1A"/>
                <w:sz w:val="20"/>
                <w:szCs w:val="20"/>
              </w:rPr>
              <w:t xml:space="preserve">Workforce pipeline and professional-development partnerships; regional coordination point for Wise</w:t>
            </w:r>
          </w:p>
        </w:tc>
        <w:tc>
          <w:tcPr>
            <w:tcW w:type="dxa" w:w="2600"/>
            <w:shd w:fill="FFFFFF" w:color="auto" w:val="clear"/>
            <w:tcMar>
              <w:top w:type="dxa" w:w="80"/>
              <w:left w:type="dxa" w:w="100"/>
              <w:bottom w:type="dxa" w:w="80"/>
              <w:right w:type="dxa" w:w="100"/>
            </w:tcMar>
          </w:tcPr>
          <w:p>
            <w:pPr>
              <w:jc w:val="left"/>
            </w:pPr>
            <w:r>
              <w:rPr>
                <w:rFonts w:ascii="Calibri" w:cs="Calibri" w:eastAsia="Calibri" w:hAnsi="Calibri"/>
                <w:b w:val="false"/>
                <w:bCs w:val="false"/>
                <w:color w:val="555555"/>
                <w:sz w:val="20"/>
                <w:szCs w:val="20"/>
              </w:rPr>
              <w:t xml:space="preserve">Business, Commerce &amp; Emerging Markets</w:t>
            </w:r>
          </w:p>
        </w:tc>
      </w:tr>
      <w:tr>
        <w:tc>
          <w:tcPr>
            <w:tcW w:type="dxa" w:w="3200"/>
            <w:shd w:fill="F2F2F2" w:color="auto" w:val="clear"/>
            <w:tcMar>
              <w:top w:type="dxa" w:w="80"/>
              <w:left w:type="dxa" w:w="100"/>
              <w:bottom w:type="dxa" w:w="80"/>
              <w:right w:type="dxa" w:w="100"/>
            </w:tcMar>
          </w:tcPr>
          <w:p>
            <w:pPr>
              <w:jc w:val="left"/>
            </w:pPr>
            <w:r>
              <w:rPr>
                <w:rFonts w:ascii="Calibri" w:cs="Calibri" w:eastAsia="Calibri" w:hAnsi="Calibri"/>
                <w:b/>
                <w:bCs/>
                <w:color w:val="1A1A1A"/>
                <w:sz w:val="20"/>
                <w:szCs w:val="20"/>
              </w:rPr>
              <w:t xml:space="preserve">UVA Wise</w:t>
            </w:r>
          </w:p>
        </w:tc>
        <w:tc>
          <w:tcPr>
            <w:tcW w:type="dxa" w:w="4800"/>
            <w:shd w:fill="F2F2F2" w:color="auto" w:val="clear"/>
            <w:tcMar>
              <w:top w:type="dxa" w:w="80"/>
              <w:left w:type="dxa" w:w="100"/>
              <w:bottom w:type="dxa" w:w="80"/>
              <w:right w:type="dxa" w:w="100"/>
            </w:tcMar>
          </w:tcPr>
          <w:p>
            <w:pPr>
              <w:jc w:val="left"/>
            </w:pPr>
            <w:r>
              <w:rPr>
                <w:rFonts w:ascii="Calibri" w:cs="Calibri" w:eastAsia="Calibri" w:hAnsi="Calibri"/>
                <w:b w:val="false"/>
                <w:bCs w:val="false"/>
                <w:color w:val="1A1A1A"/>
                <w:sz w:val="20"/>
                <w:szCs w:val="20"/>
              </w:rPr>
              <w:t xml:space="preserve">Not explicitly covered by a dedicated placement; corporate engagement tied to Wise's academic programs or regional economic development is coordinated through SCPS</w:t>
            </w:r>
          </w:p>
        </w:tc>
        <w:tc>
          <w:tcPr>
            <w:tcW w:type="dxa" w:w="2600"/>
            <w:shd w:fill="F2F2F2" w:color="auto" w:val="clear"/>
            <w:tcMar>
              <w:top w:type="dxa" w:w="80"/>
              <w:left w:type="dxa" w:w="100"/>
              <w:bottom w:type="dxa" w:w="80"/>
              <w:right w:type="dxa" w:w="100"/>
            </w:tcMar>
          </w:tcPr>
          <w:p>
            <w:pPr>
              <w:jc w:val="left"/>
            </w:pPr>
            <w:r>
              <w:rPr>
                <w:rFonts w:ascii="Calibri" w:cs="Calibri" w:eastAsia="Calibri" w:hAnsi="Calibri"/>
                <w:b w:val="false"/>
                <w:bCs w:val="false"/>
                <w:color w:val="555555"/>
                <w:sz w:val="20"/>
                <w:szCs w:val="20"/>
              </w:rPr>
              <w:t xml:space="preserve">Business, Commerce &amp; Emerging Markets (regional)</w:t>
            </w:r>
          </w:p>
        </w:tc>
      </w:tr>
    </w:tbl>
    <w:p>
      <w:pPr>
        <w:spacing w:after="100" w:before="200"/>
      </w:pPr>
      <w:r>
        <w:rPr>
          <w:rFonts w:ascii="Calibri" w:cs="Calibri" w:eastAsia="Calibri" w:hAnsi="Calibri"/>
          <w:b/>
          <w:bCs/>
          <w:color w:val="232D4B"/>
          <w:sz w:val="23"/>
          <w:szCs w:val="23"/>
        </w:rPr>
        <w:t xml:space="preserve">Both Officers — Jointly Held Schools</w:t>
      </w:r>
    </w:p>
    <w:tbl>
      <w:tblPr>
        <w:tblW w:type="dxa" w:w="10600"/>
        <w:tblBorders>
          <w:top w:val="single" w:color="auto" w:sz="4"/>
          <w:left w:val="single" w:color="auto" w:sz="4"/>
          <w:bottom w:val="single" w:color="auto" w:sz="4"/>
          <w:right w:val="single" w:color="auto" w:sz="4"/>
          <w:insideH w:val="single" w:color="auto" w:sz="4"/>
          <w:insideV w:val="single" w:color="auto" w:sz="4"/>
        </w:tblBorders>
      </w:tblPr>
      <w:tblGrid>
        <w:gridCol w:w="3200"/>
        <w:gridCol w:w="4800"/>
        <w:gridCol w:w="2600"/>
      </w:tblGrid>
      <w:tr>
        <w:trPr>
          <w:tblHeader/>
        </w:trPr>
        <w:tc>
          <w:tcPr>
            <w:tcW w:type="dxa" w:w="3200"/>
            <w:shd w:fill="232D4B" w:color="auto" w:val="clear"/>
            <w:tcMar>
              <w:top w:type="dxa" w:w="80"/>
              <w:left w:type="dxa" w:w="100"/>
              <w:bottom w:type="dxa" w:w="80"/>
              <w:right w:type="dxa" w:w="100"/>
            </w:tcMar>
          </w:tcPr>
          <w:p>
            <w:pPr>
              <w:jc w:val="left"/>
            </w:pPr>
            <w:r>
              <w:rPr>
                <w:rFonts w:ascii="Calibri" w:cs="Calibri" w:eastAsia="Calibri" w:hAnsi="Calibri"/>
                <w:b/>
                <w:bCs/>
                <w:color w:val="FFFFFF"/>
                <w:sz w:val="20"/>
                <w:szCs w:val="20"/>
              </w:rPr>
              <w:t xml:space="preserve">School / Unit</w:t>
            </w:r>
          </w:p>
        </w:tc>
        <w:tc>
          <w:tcPr>
            <w:tcW w:type="dxa" w:w="4800"/>
            <w:shd w:fill="232D4B" w:color="auto" w:val="clear"/>
            <w:tcMar>
              <w:top w:type="dxa" w:w="80"/>
              <w:left w:type="dxa" w:w="100"/>
              <w:bottom w:type="dxa" w:w="80"/>
              <w:right w:type="dxa" w:w="100"/>
            </w:tcMar>
          </w:tcPr>
          <w:p>
            <w:pPr>
              <w:jc w:val="left"/>
            </w:pPr>
            <w:r>
              <w:rPr>
                <w:rFonts w:ascii="Calibri" w:cs="Calibri" w:eastAsia="Calibri" w:hAnsi="Calibri"/>
                <w:b/>
                <w:bCs/>
                <w:color w:val="FFFFFF"/>
                <w:sz w:val="20"/>
                <w:szCs w:val="20"/>
              </w:rPr>
              <w:t xml:space="preserve">Aligned Centers, Institutes &amp; Pan-University Priorities</w:t>
            </w:r>
          </w:p>
        </w:tc>
        <w:tc>
          <w:tcPr>
            <w:tcW w:type="dxa" w:w="2600"/>
            <w:shd w:fill="232D4B" w:color="auto" w:val="clear"/>
            <w:tcMar>
              <w:top w:type="dxa" w:w="80"/>
              <w:left w:type="dxa" w:w="100"/>
              <w:bottom w:type="dxa" w:w="80"/>
              <w:right w:type="dxa" w:w="100"/>
            </w:tcMar>
          </w:tcPr>
          <w:p>
            <w:pPr>
              <w:jc w:val="left"/>
            </w:pPr>
            <w:r>
              <w:rPr>
                <w:rFonts w:ascii="Calibri" w:cs="Calibri" w:eastAsia="Calibri" w:hAnsi="Calibri"/>
                <w:b/>
                <w:bCs/>
                <w:color w:val="FFFFFF"/>
                <w:sz w:val="20"/>
                <w:szCs w:val="20"/>
              </w:rPr>
              <w:t xml:space="preserve">Theme Lens (from CR Thematic Model)</w:t>
            </w:r>
          </w:p>
        </w:tc>
      </w:tr>
      <w:tr>
        <w:tc>
          <w:tcPr>
            <w:tcW w:type="dxa" w:w="3200"/>
            <w:shd w:fill="FFFFFF" w:color="auto" w:val="clear"/>
            <w:tcMar>
              <w:top w:type="dxa" w:w="80"/>
              <w:left w:type="dxa" w:w="100"/>
              <w:bottom w:type="dxa" w:w="80"/>
              <w:right w:type="dxa" w:w="100"/>
            </w:tcMar>
          </w:tcPr>
          <w:p>
            <w:pPr>
              <w:jc w:val="left"/>
            </w:pPr>
            <w:r>
              <w:rPr>
                <w:rFonts w:ascii="Calibri" w:cs="Calibri" w:eastAsia="Calibri" w:hAnsi="Calibri"/>
                <w:b/>
                <w:bCs/>
                <w:color w:val="1A1A1A"/>
                <w:sz w:val="20"/>
                <w:szCs w:val="20"/>
              </w:rPr>
              <w:t xml:space="preserve">College &amp; Graduate School of Arts &amp; Sciences</w:t>
            </w:r>
          </w:p>
        </w:tc>
        <w:tc>
          <w:tcPr>
            <w:tcW w:type="dxa" w:w="4800"/>
            <w:shd w:fill="FFFFFF" w:color="auto" w:val="clear"/>
            <w:tcMar>
              <w:top w:type="dxa" w:w="80"/>
              <w:left w:type="dxa" w:w="100"/>
              <w:bottom w:type="dxa" w:w="80"/>
              <w:right w:type="dxa" w:w="100"/>
            </w:tcMar>
          </w:tcPr>
          <w:p>
            <w:pPr>
              <w:jc w:val="left"/>
            </w:pPr>
            <w:r>
              <w:rPr>
                <w:rFonts w:ascii="Calibri" w:cs="Calibri" w:eastAsia="Calibri" w:hAnsi="Calibri"/>
                <w:b w:val="false"/>
                <w:bCs w:val="false"/>
                <w:color w:val="1A1A1A"/>
                <w:sz w:val="20"/>
                <w:szCs w:val="20"/>
              </w:rPr>
              <w:t xml:space="preserve">Held jointly. A&amp;S spans all five research themes (natural sciences, social sciences, humanities), so officers coordinate by department/research area and designate a single lead per prospect — mirroring the “Honors College &amp; A&amp;S” cross-cutting priority in the July 2026 CR Thematic Placement Model.</w:t>
            </w:r>
          </w:p>
        </w:tc>
        <w:tc>
          <w:tcPr>
            <w:tcW w:type="dxa" w:w="2600"/>
            <w:shd w:fill="FFFFFF" w:color="auto" w:val="clear"/>
            <w:tcMar>
              <w:top w:type="dxa" w:w="80"/>
              <w:left w:type="dxa" w:w="100"/>
              <w:bottom w:type="dxa" w:w="80"/>
              <w:right w:type="dxa" w:w="100"/>
            </w:tcMar>
          </w:tcPr>
          <w:p>
            <w:pPr>
              <w:jc w:val="left"/>
            </w:pPr>
            <w:r>
              <w:rPr>
                <w:rFonts w:ascii="Calibri" w:cs="Calibri" w:eastAsia="Calibri" w:hAnsi="Calibri"/>
                <w:b w:val="false"/>
                <w:bCs w:val="false"/>
                <w:color w:val="555555"/>
                <w:sz w:val="20"/>
                <w:szCs w:val="20"/>
              </w:rPr>
              <w:t xml:space="preserve">All five themes (cross-cutting)</w:t>
            </w:r>
          </w:p>
        </w:tc>
      </w:tr>
      <w:tr>
        <w:tc>
          <w:tcPr>
            <w:tcW w:type="dxa" w:w="3200"/>
            <w:shd w:fill="F2F2F2" w:color="auto" w:val="clear"/>
            <w:tcMar>
              <w:top w:type="dxa" w:w="80"/>
              <w:left w:type="dxa" w:w="100"/>
              <w:bottom w:type="dxa" w:w="80"/>
              <w:right w:type="dxa" w:w="100"/>
            </w:tcMar>
          </w:tcPr>
          <w:p>
            <w:pPr>
              <w:jc w:val="left"/>
            </w:pPr>
            <w:r>
              <w:rPr>
                <w:rFonts w:ascii="Calibri" w:cs="Calibri" w:eastAsia="Calibri" w:hAnsi="Calibri"/>
                <w:b/>
                <w:bCs/>
                <w:color w:val="1A1A1A"/>
                <w:sz w:val="20"/>
                <w:szCs w:val="20"/>
              </w:rPr>
              <w:t xml:space="preserve">Biocomplexity Institute</w:t>
            </w:r>
          </w:p>
        </w:tc>
        <w:tc>
          <w:tcPr>
            <w:tcW w:type="dxa" w:w="4800"/>
            <w:shd w:fill="F2F2F2" w:color="auto" w:val="clear"/>
            <w:tcMar>
              <w:top w:type="dxa" w:w="80"/>
              <w:left w:type="dxa" w:w="100"/>
              <w:bottom w:type="dxa" w:w="80"/>
              <w:right w:type="dxa" w:w="100"/>
            </w:tcMar>
          </w:tcPr>
          <w:p>
            <w:pPr>
              <w:jc w:val="left"/>
            </w:pPr>
            <w:r>
              <w:rPr>
                <w:rFonts w:ascii="Calibri" w:cs="Calibri" w:eastAsia="Calibri" w:hAnsi="Calibri"/>
                <w:b w:val="false"/>
                <w:bCs w:val="false"/>
                <w:color w:val="1A1A1A"/>
                <w:sz w:val="20"/>
                <w:szCs w:val="20"/>
              </w:rPr>
              <w:t xml:space="preserve">Held jointly between Officer 1 (computing/data systems research) and Officer 2 (environmental systems research), with lead assigned by the specific research program a prospect engages.</w:t>
            </w:r>
          </w:p>
        </w:tc>
        <w:tc>
          <w:tcPr>
            <w:tcW w:type="dxa" w:w="2600"/>
            <w:shd w:fill="F2F2F2" w:color="auto" w:val="clear"/>
            <w:tcMar>
              <w:top w:type="dxa" w:w="80"/>
              <w:left w:type="dxa" w:w="100"/>
              <w:bottom w:type="dxa" w:w="80"/>
              <w:right w:type="dxa" w:w="100"/>
            </w:tcMar>
          </w:tcPr>
          <w:p>
            <w:pPr>
              <w:jc w:val="left"/>
            </w:pPr>
            <w:r>
              <w:rPr>
                <w:rFonts w:ascii="Calibri" w:cs="Calibri" w:eastAsia="Calibri" w:hAnsi="Calibri"/>
                <w:b w:val="false"/>
                <w:bCs w:val="false"/>
                <w:color w:val="555555"/>
                <w:sz w:val="20"/>
                <w:szCs w:val="20"/>
              </w:rPr>
              <w:t xml:space="preserve">Technology &amp; Environment (cross-cutting)</w:t>
            </w:r>
          </w:p>
        </w:tc>
      </w:tr>
    </w:tbl>
    <w:p>
      <w:pPr>
        <w:pStyle w:val="Heading1"/>
        <w:pBdr>
          <w:bottom w:val="single" w:color="CCCCCC" w:sz="4" w:space="4"/>
        </w:pBdr>
        <w:spacing w:after="120" w:before="280"/>
      </w:pPr>
      <w:r>
        <w:rPr>
          <w:rFonts w:ascii="Calibri" w:cs="Calibri" w:eastAsia="Calibri" w:hAnsi="Calibri"/>
          <w:b/>
          <w:bCs/>
          <w:color w:val="232D4B"/>
          <w:sz w:val="26"/>
          <w:szCs w:val="26"/>
        </w:rPr>
        <w:t xml:space="preserve">Pan-University Priorities &amp; Centers Without a Dedicated School Lead</w:t>
      </w:r>
    </w:p>
    <w:p>
      <w:pPr>
        <w:spacing w:after="140"/>
      </w:pPr>
      <w:r>
        <w:rPr>
          <w:rFonts w:ascii="Calibri" w:cs="Calibri" w:eastAsia="Calibri" w:hAnsi="Calibri"/>
          <w:color w:val="1A1A1A"/>
          <w:sz w:val="21"/>
          <w:szCs w:val="21"/>
        </w:rPr>
        <w:t xml:space="preserve">As with the CR Thematic Placement Model, school placements organize how the Corporate Relations team works — they do not define or limit who the team serves. Every school, unit, center, and initiative at UVA can access Corporate Relations support regardless of its placement below.</w:t>
      </w:r>
    </w:p>
    <w:tbl>
      <w:tblPr>
        <w:tblW w:type="dxa" w:w="10600"/>
        <w:tblBorders>
          <w:top w:val="single" w:color="auto" w:sz="4"/>
          <w:left w:val="single" w:color="auto" w:sz="4"/>
          <w:bottom w:val="single" w:color="auto" w:sz="4"/>
          <w:right w:val="single" w:color="auto" w:sz="4"/>
          <w:insideH w:val="single" w:color="auto" w:sz="4"/>
          <w:insideV w:val="single" w:color="auto" w:sz="4"/>
        </w:tblBorders>
      </w:tblPr>
      <w:tblGrid>
        <w:gridCol w:w="4000"/>
        <w:gridCol w:w="6600"/>
      </w:tblGrid>
      <w:tr>
        <w:trPr>
          <w:tblHeader/>
        </w:trPr>
        <w:tc>
          <w:tcPr>
            <w:tcW w:type="dxa" w:w="4000"/>
            <w:shd w:fill="E57200" w:color="auto" w:val="clear"/>
            <w:tcMar>
              <w:top w:type="dxa" w:w="80"/>
              <w:left w:type="dxa" w:w="100"/>
              <w:bottom w:type="dxa" w:w="80"/>
              <w:right w:type="dxa" w:w="100"/>
            </w:tcMar>
          </w:tcPr>
          <w:p>
            <w:pPr>
              <w:jc w:val="left"/>
            </w:pPr>
            <w:r>
              <w:rPr>
                <w:rFonts w:ascii="Calibri" w:cs="Calibri" w:eastAsia="Calibri" w:hAnsi="Calibri"/>
                <w:b/>
                <w:bCs/>
                <w:color w:val="FFFFFF"/>
                <w:sz w:val="20"/>
                <w:szCs w:val="20"/>
              </w:rPr>
              <w:t xml:space="preserve">Pan-University Priority</w:t>
            </w:r>
          </w:p>
        </w:tc>
        <w:tc>
          <w:tcPr>
            <w:tcW w:type="dxa" w:w="6600"/>
            <w:shd w:fill="E57200" w:color="auto" w:val="clear"/>
            <w:tcMar>
              <w:top w:type="dxa" w:w="80"/>
              <w:left w:type="dxa" w:w="100"/>
              <w:bottom w:type="dxa" w:w="80"/>
              <w:right w:type="dxa" w:w="100"/>
            </w:tcMar>
          </w:tcPr>
          <w:p>
            <w:pPr>
              <w:jc w:val="left"/>
            </w:pPr>
            <w:r>
              <w:rPr>
                <w:rFonts w:ascii="Calibri" w:cs="Calibri" w:eastAsia="Calibri" w:hAnsi="Calibri"/>
                <w:b/>
                <w:bCs/>
                <w:color w:val="FFFFFF"/>
                <w:sz w:val="20"/>
                <w:szCs w:val="20"/>
              </w:rPr>
              <w:t xml:space="preserve">How It's Handled Under This Model</w:t>
            </w:r>
          </w:p>
        </w:tc>
      </w:tr>
      <w:tr>
        <w:tc>
          <w:tcPr>
            <w:tcW w:type="dxa" w:w="4000"/>
            <w:shd w:fill="FFFFFF" w:color="auto" w:val="clear"/>
            <w:tcMar>
              <w:top w:type="dxa" w:w="80"/>
              <w:left w:type="dxa" w:w="100"/>
              <w:bottom w:type="dxa" w:w="80"/>
              <w:right w:type="dxa" w:w="100"/>
            </w:tcMar>
          </w:tcPr>
          <w:p>
            <w:pPr>
              <w:jc w:val="left"/>
            </w:pPr>
            <w:r>
              <w:rPr>
                <w:rFonts w:ascii="Calibri" w:cs="Calibri" w:eastAsia="Calibri" w:hAnsi="Calibri"/>
                <w:b/>
                <w:bCs/>
                <w:color w:val="1A1A1A"/>
                <w:sz w:val="20"/>
                <w:szCs w:val="20"/>
              </w:rPr>
              <w:t xml:space="preserve">Contemplative Sciences Center</w:t>
            </w:r>
          </w:p>
        </w:tc>
        <w:tc>
          <w:tcPr>
            <w:tcW w:type="dxa" w:w="6600"/>
            <w:shd w:fill="FFFFFF" w:color="auto" w:val="clear"/>
            <w:tcMar>
              <w:top w:type="dxa" w:w="80"/>
              <w:left w:type="dxa" w:w="100"/>
              <w:bottom w:type="dxa" w:w="80"/>
              <w:right w:type="dxa" w:w="100"/>
            </w:tcMar>
          </w:tcPr>
          <w:p>
            <w:pPr>
              <w:jc w:val="left"/>
            </w:pPr>
            <w:r>
              <w:rPr>
                <w:rFonts w:ascii="Calibri" w:cs="Calibri" w:eastAsia="Calibri" w:hAnsi="Calibri"/>
                <w:b w:val="false"/>
                <w:bCs w:val="false"/>
                <w:color w:val="1A1A1A"/>
                <w:sz w:val="20"/>
                <w:szCs w:val="20"/>
              </w:rPr>
              <w:t xml:space="preserve">Not assigned to a dedicated school placement. Partners with wellness, behavioral health, or mindfulness-adjacent interests are discussed with the team case by case and routed to the officer with the closest thematic fit.</w:t>
            </w:r>
          </w:p>
        </w:tc>
      </w:tr>
      <w:tr>
        <w:tc>
          <w:tcPr>
            <w:tcW w:type="dxa" w:w="4000"/>
            <w:shd w:fill="F2F2F2" w:color="auto" w:val="clear"/>
            <w:tcMar>
              <w:top w:type="dxa" w:w="80"/>
              <w:left w:type="dxa" w:w="100"/>
              <w:bottom w:type="dxa" w:w="80"/>
              <w:right w:type="dxa" w:w="100"/>
            </w:tcMar>
          </w:tcPr>
          <w:p>
            <w:pPr>
              <w:jc w:val="left"/>
            </w:pPr>
            <w:r>
              <w:rPr>
                <w:rFonts w:ascii="Calibri" w:cs="Calibri" w:eastAsia="Calibri" w:hAnsi="Calibri"/>
                <w:b/>
                <w:bCs/>
                <w:color w:val="1A1A1A"/>
                <w:sz w:val="20"/>
                <w:szCs w:val="20"/>
              </w:rPr>
              <w:t xml:space="preserve">UVA Arts (Fralin Museum of Art, Virginia Film Festival, and related programs)</w:t>
            </w:r>
          </w:p>
        </w:tc>
        <w:tc>
          <w:tcPr>
            <w:tcW w:type="dxa" w:w="6600"/>
            <w:shd w:fill="F2F2F2" w:color="auto" w:val="clear"/>
            <w:tcMar>
              <w:top w:type="dxa" w:w="80"/>
              <w:left w:type="dxa" w:w="100"/>
              <w:bottom w:type="dxa" w:w="80"/>
              <w:right w:type="dxa" w:w="100"/>
            </w:tcMar>
          </w:tcPr>
          <w:p>
            <w:pPr>
              <w:jc w:val="left"/>
            </w:pPr>
            <w:r>
              <w:rPr>
                <w:rFonts w:ascii="Calibri" w:cs="Calibri" w:eastAsia="Calibri" w:hAnsi="Calibri"/>
                <w:b w:val="false"/>
                <w:bCs w:val="false"/>
                <w:color w:val="1A1A1A"/>
                <w:sz w:val="20"/>
                <w:szCs w:val="20"/>
              </w:rPr>
              <w:t xml:space="preserve">Not assigned to a dedicated placement given limited corporate co-investment potential relative to other priorities. Corporate partners with arts sponsorship, community engagement, or brand-alignment interests can be referred to the CR team for assessment.</w:t>
            </w:r>
          </w:p>
        </w:tc>
      </w:tr>
      <w:tr>
        <w:tc>
          <w:tcPr>
            <w:tcW w:type="dxa" w:w="4000"/>
            <w:shd w:fill="FFFFFF" w:color="auto" w:val="clear"/>
            <w:tcMar>
              <w:top w:type="dxa" w:w="80"/>
              <w:left w:type="dxa" w:w="100"/>
              <w:bottom w:type="dxa" w:w="80"/>
              <w:right w:type="dxa" w:w="100"/>
            </w:tcMar>
          </w:tcPr>
          <w:p>
            <w:pPr>
              <w:jc w:val="left"/>
            </w:pPr>
            <w:r>
              <w:rPr>
                <w:rFonts w:ascii="Calibri" w:cs="Calibri" w:eastAsia="Calibri" w:hAnsi="Calibri"/>
                <w:b/>
                <w:bCs/>
                <w:color w:val="1A1A1A"/>
                <w:sz w:val="20"/>
                <w:szCs w:val="20"/>
              </w:rPr>
              <w:t xml:space="preserve">UVA Library</w:t>
            </w:r>
          </w:p>
        </w:tc>
        <w:tc>
          <w:tcPr>
            <w:tcW w:type="dxa" w:w="6600"/>
            <w:shd w:fill="FFFFFF" w:color="auto" w:val="clear"/>
            <w:tcMar>
              <w:top w:type="dxa" w:w="80"/>
              <w:left w:type="dxa" w:w="100"/>
              <w:bottom w:type="dxa" w:w="80"/>
              <w:right w:type="dxa" w:w="100"/>
            </w:tcMar>
          </w:tcPr>
          <w:p>
            <w:pPr>
              <w:jc w:val="left"/>
            </w:pPr>
            <w:r>
              <w:rPr>
                <w:rFonts w:ascii="Calibri" w:cs="Calibri" w:eastAsia="Calibri" w:hAnsi="Calibri"/>
                <w:b w:val="false"/>
                <w:bCs w:val="false"/>
                <w:color w:val="1A1A1A"/>
                <w:sz w:val="20"/>
                <w:szCs w:val="20"/>
              </w:rPr>
              <w:t xml:space="preserve">Not assigned to a dedicated placement. Digital scholarship, research data services, and archival programs may be relevant to technology, publishing, or research-infrastructure partners; opportunities are assessed and routed by the team.</w:t>
            </w:r>
          </w:p>
        </w:tc>
      </w:tr>
      <w:tr>
        <w:tc>
          <w:tcPr>
            <w:tcW w:type="dxa" w:w="4000"/>
            <w:shd w:fill="F2F2F2" w:color="auto" w:val="clear"/>
            <w:tcMar>
              <w:top w:type="dxa" w:w="80"/>
              <w:left w:type="dxa" w:w="100"/>
              <w:bottom w:type="dxa" w:w="80"/>
              <w:right w:type="dxa" w:w="100"/>
            </w:tcMar>
          </w:tcPr>
          <w:p>
            <w:pPr>
              <w:jc w:val="left"/>
            </w:pPr>
            <w:r>
              <w:rPr>
                <w:rFonts w:ascii="Calibri" w:cs="Calibri" w:eastAsia="Calibri" w:hAnsi="Calibri"/>
                <w:b/>
                <w:bCs/>
                <w:color w:val="1A1A1A"/>
                <w:sz w:val="20"/>
                <w:szCs w:val="20"/>
              </w:rPr>
              <w:t xml:space="preserve">Provost-level initiatives not listed above (e.g., VA Humanities, Gun Violence Solutions Project, Global)</w:t>
            </w:r>
          </w:p>
        </w:tc>
        <w:tc>
          <w:tcPr>
            <w:tcW w:type="dxa" w:w="6600"/>
            <w:shd w:fill="F2F2F2" w:color="auto" w:val="clear"/>
            <w:tcMar>
              <w:top w:type="dxa" w:w="80"/>
              <w:left w:type="dxa" w:w="100"/>
              <w:bottom w:type="dxa" w:w="80"/>
              <w:right w:type="dxa" w:w="100"/>
            </w:tcMar>
          </w:tcPr>
          <w:p>
            <w:pPr>
              <w:jc w:val="left"/>
            </w:pPr>
            <w:r>
              <w:rPr>
                <w:rFonts w:ascii="Calibri" w:cs="Calibri" w:eastAsia="Calibri" w:hAnsi="Calibri"/>
                <w:b w:val="false"/>
                <w:bCs w:val="false"/>
                <w:color w:val="1A1A1A"/>
                <w:sz w:val="20"/>
                <w:szCs w:val="20"/>
              </w:rPr>
              <w:t xml:space="preserve">Eligible for CR support as pan-university priorities. Reach out to the team to discuss prospective partners; a lead is assigned based on theme and school proximity.</w:t>
            </w:r>
          </w:p>
        </w:tc>
      </w:tr>
      <w:tr>
        <w:tc>
          <w:tcPr>
            <w:tcW w:type="dxa" w:w="4000"/>
            <w:shd w:fill="FFFFFF" w:color="auto" w:val="clear"/>
            <w:tcMar>
              <w:top w:type="dxa" w:w="80"/>
              <w:left w:type="dxa" w:w="100"/>
              <w:bottom w:type="dxa" w:w="80"/>
              <w:right w:type="dxa" w:w="100"/>
            </w:tcMar>
          </w:tcPr>
          <w:p>
            <w:pPr>
              <w:jc w:val="left"/>
            </w:pPr>
            <w:r>
              <w:rPr>
                <w:rFonts w:ascii="Calibri" w:cs="Calibri" w:eastAsia="Calibri" w:hAnsi="Calibri"/>
                <w:b/>
                <w:bCs/>
                <w:color w:val="1A1A1A"/>
                <w:sz w:val="20"/>
                <w:szCs w:val="20"/>
              </w:rPr>
              <w:t xml:space="preserve">Health System (Medical Center, Cancer Center clinical operations)</w:t>
            </w:r>
          </w:p>
        </w:tc>
        <w:tc>
          <w:tcPr>
            <w:tcW w:type="dxa" w:w="6600"/>
            <w:shd w:fill="FFFFFF" w:color="auto" w:val="clear"/>
            <w:tcMar>
              <w:top w:type="dxa" w:w="80"/>
              <w:left w:type="dxa" w:w="100"/>
              <w:bottom w:type="dxa" w:w="80"/>
              <w:right w:type="dxa" w:w="100"/>
            </w:tcMar>
          </w:tcPr>
          <w:p>
            <w:pPr>
              <w:jc w:val="left"/>
            </w:pPr>
            <w:r>
              <w:rPr>
                <w:rFonts w:ascii="Calibri" w:cs="Calibri" w:eastAsia="Calibri" w:hAnsi="Calibri"/>
                <w:b w:val="false"/>
                <w:bCs w:val="false"/>
                <w:color w:val="1A1A1A"/>
                <w:sz w:val="20"/>
                <w:szCs w:val="20"/>
              </w:rPr>
              <w:t xml:space="preserve">Excluded from this model, consistent with the CR Thematic Placement Model. Health-aligned corporate partnerships are managed separately. Research-facing engagement tied to Manning Institute, the Brain Institute, Nursing research, and the School of Medicine's research enterprise remains in scope under Officer 1.</w:t>
            </w:r>
          </w:p>
        </w:tc>
      </w:tr>
    </w:tbl>
    <w:p>
      <w:pPr>
        <w:pStyle w:val="Heading1"/>
        <w:pBdr>
          <w:bottom w:val="single" w:color="CCCCCC" w:sz="4" w:space="4"/>
        </w:pBdr>
        <w:spacing w:after="120" w:before="280"/>
      </w:pPr>
      <w:r>
        <w:rPr>
          <w:rFonts w:ascii="Calibri" w:cs="Calibri" w:eastAsia="Calibri" w:hAnsi="Calibri"/>
          <w:b/>
          <w:bCs/>
          <w:color w:val="232D4B"/>
          <w:sz w:val="26"/>
          <w:szCs w:val="26"/>
        </w:rPr>
        <w:t xml:space="preserve">Cross-Cutting Priorities</w:t>
      </w:r>
    </w:p>
    <w:p>
      <w:pPr>
        <w:spacing w:after="140"/>
      </w:pPr>
      <w:r>
        <w:rPr>
          <w:rFonts w:ascii="Calibri" w:cs="Calibri" w:eastAsia="Calibri" w:hAnsi="Calibri"/>
          <w:color w:val="1A1A1A"/>
          <w:sz w:val="21"/>
          <w:szCs w:val="21"/>
        </w:rPr>
        <w:t xml:space="preserve">Several areas require active collaboration between both officers regardless of primary school placement:</w:t>
      </w:r>
    </w:p>
    <w:p>
      <w:pPr>
        <w:pStyle w:val="ListParagraph"/>
        <w:numPr>
          <w:ilvl w:val="0"/>
          <w:numId w:val="2"/>
        </w:numPr>
        <w:spacing w:after="90"/>
      </w:pPr>
      <w:r>
        <w:rPr>
          <w:rFonts w:ascii="Calibri" w:cs="Calibri" w:eastAsia="Calibri" w:hAnsi="Calibri"/>
          <w:b/>
          <w:bCs/>
          <w:color w:val="1A1A1A"/>
          <w:sz w:val="21"/>
          <w:szCs w:val="21"/>
        </w:rPr>
        <w:t xml:space="preserve">UVA Research Hub — </w:t>
      </w:r>
      <w:r>
        <w:rPr>
          <w:rFonts w:ascii="Calibri" w:cs="Calibri" w:eastAsia="Calibri" w:hAnsi="Calibri"/>
          <w:color w:val="1A1A1A"/>
          <w:sz w:val="21"/>
          <w:szCs w:val="21"/>
        </w:rPr>
        <w:t xml:space="preserve">both officers monitor Research Hub activity as the primary intelligence source for faculty engagement and prospect identification across all schools.</w:t>
      </w:r>
    </w:p>
    <w:p>
      <w:pPr>
        <w:pStyle w:val="ListParagraph"/>
        <w:numPr>
          <w:ilvl w:val="0"/>
          <w:numId w:val="2"/>
        </w:numPr>
        <w:spacing w:after="90"/>
      </w:pPr>
      <w:r>
        <w:rPr>
          <w:rFonts w:ascii="Calibri" w:cs="Calibri" w:eastAsia="Calibri" w:hAnsi="Calibri"/>
          <w:b/>
          <w:bCs/>
          <w:color w:val="1A1A1A"/>
          <w:sz w:val="21"/>
          <w:szCs w:val="21"/>
        </w:rPr>
        <w:t xml:space="preserve">Federal Funding Watch — </w:t>
      </w:r>
      <w:r>
        <w:rPr>
          <w:rFonts w:ascii="Calibri" w:cs="Calibri" w:eastAsia="Calibri" w:hAnsi="Calibri"/>
          <w:color w:val="1A1A1A"/>
          <w:sz w:val="21"/>
          <w:szCs w:val="21"/>
        </w:rPr>
        <w:t xml:space="preserve">when major federal agency announcements are made (NSF, NIH, DOE, DARPA, etc.), both officers assess corporate co-investment potential within their assigned schools and flag joint prospects.</w:t>
      </w:r>
    </w:p>
    <w:p>
      <w:pPr>
        <w:pStyle w:val="ListParagraph"/>
        <w:numPr>
          <w:ilvl w:val="0"/>
          <w:numId w:val="2"/>
        </w:numPr>
        <w:spacing w:after="90"/>
      </w:pPr>
      <w:r>
        <w:rPr>
          <w:rFonts w:ascii="Calibri" w:cs="Calibri" w:eastAsia="Calibri" w:hAnsi="Calibri"/>
          <w:b/>
          <w:bCs/>
          <w:color w:val="1A1A1A"/>
          <w:sz w:val="21"/>
          <w:szCs w:val="21"/>
        </w:rPr>
        <w:t xml:space="preserve">Multi-school and multi-theme corporate partners — </w:t>
      </w:r>
      <w:r>
        <w:rPr>
          <w:rFonts w:ascii="Calibri" w:cs="Calibri" w:eastAsia="Calibri" w:hAnsi="Calibri"/>
          <w:color w:val="1A1A1A"/>
          <w:sz w:val="21"/>
          <w:szCs w:val="21"/>
        </w:rPr>
        <w:t xml:space="preserve">companies with broad research interests spanning several schools (e.g., major tech, energy, or life-sciences firms) are managed jointly with a clear lead designated.</w:t>
      </w:r>
    </w:p>
    <w:p>
      <w:pPr>
        <w:pStyle w:val="ListParagraph"/>
        <w:numPr>
          <w:ilvl w:val="0"/>
          <w:numId w:val="2"/>
        </w:numPr>
        <w:spacing w:after="90"/>
      </w:pPr>
      <w:r>
        <w:rPr>
          <w:rFonts w:ascii="Calibri" w:cs="Calibri" w:eastAsia="Calibri" w:hAnsi="Calibri"/>
          <w:b/>
          <w:bCs/>
          <w:color w:val="1A1A1A"/>
          <w:sz w:val="21"/>
          <w:szCs w:val="21"/>
        </w:rPr>
        <w:t xml:space="preserve">Arts &amp; Sciences — </w:t>
      </w:r>
      <w:r>
        <w:rPr>
          <w:rFonts w:ascii="Calibri" w:cs="Calibri" w:eastAsia="Calibri" w:hAnsi="Calibri"/>
          <w:color w:val="1A1A1A"/>
          <w:sz w:val="21"/>
          <w:szCs w:val="21"/>
        </w:rPr>
        <w:t xml:space="preserve">as the College builds its corporate engagement strategy, both officers support thematically relevant prospect identification and faculty introductions across A&amp;S departments.</w:t>
      </w:r>
    </w:p>
    <w:p>
      <w:pPr>
        <w:pStyle w:val="Heading1"/>
        <w:pBdr>
          <w:bottom w:val="single" w:color="CCCCCC" w:sz="4" w:space="4"/>
        </w:pBdr>
        <w:spacing w:after="120" w:before="280"/>
      </w:pPr>
      <w:r>
        <w:rPr>
          <w:rFonts w:ascii="Calibri" w:cs="Calibri" w:eastAsia="Calibri" w:hAnsi="Calibri"/>
          <w:b/>
          <w:bCs/>
          <w:color w:val="232D4B"/>
          <w:sz w:val="26"/>
          <w:szCs w:val="26"/>
        </w:rPr>
        <w:t xml:space="preserve">A Note on Scope</w:t>
      </w:r>
    </w:p>
    <w:p>
      <w:pPr>
        <w:spacing w:after="140"/>
      </w:pPr>
      <w:r>
        <w:rPr>
          <w:rFonts w:ascii="Calibri" w:cs="Calibri" w:eastAsia="Calibri" w:hAnsi="Calibri"/>
          <w:color w:val="1A1A1A"/>
          <w:sz w:val="21"/>
          <w:szCs w:val="21"/>
        </w:rPr>
        <w:t xml:space="preserve">This model is designed to organize how the Corporate Relations team works — not to define or limit who it serves. Any school, unit, center, or pan-university initiative with a prospective corporate partner relationship, regardless of its placement above, is encouraged to connect directly with the Corporate Relations team. We will identify the right lead and engage accordingly.</w:t>
      </w:r>
    </w:p>
    <w:p>
      <w:pPr>
        <w:spacing w:after="140"/>
      </w:pPr>
      <w:r>
        <w:rPr>
          <w:rFonts w:ascii="Calibri" w:cs="Calibri" w:eastAsia="Calibri" w:hAnsi="Calibri"/>
          <w:color w:val="1A1A1A"/>
          <w:sz w:val="21"/>
          <w:szCs w:val="21"/>
        </w:rPr>
        <w:t xml:space="preserve">This model will evolve alongside the FR liaison model and the CR thematic model it builds on. In the first year, the team will gather feedback from schools, units, and research leadership to calibrate placements, identify gaps, and refine scope. Units are encouraged to flag emerging corporate opportunities early — the earlier a relationship is in play, the more effectively the team can support it.</w:t>
      </w:r>
    </w:p>
    <w:p>
      <w:pPr>
        <w:pBdr>
          <w:top w:val="single" w:color="CCCCCC" w:sz="4" w:space="6"/>
        </w:pBdr>
        <w:spacing w:before="300"/>
        <w:jc w:val="center"/>
      </w:pPr>
      <w:r>
        <w:rPr>
          <w:rFonts w:ascii="Calibri" w:cs="Calibri" w:eastAsia="Calibri" w:hAnsi="Calibri"/>
          <w:i/>
          <w:iCs/>
          <w:color w:val="666666"/>
          <w:sz w:val="18"/>
          <w:szCs w:val="18"/>
        </w:rPr>
        <w:t xml:space="preserve">University of Virginia  |  Corporate &amp; Foundation Relations  |  September 2026  |  Internal Use Only</w:t>
      </w:r>
    </w:p>
    <w:sectPr>
      <w:pgSz w:w="12240" w:h="15840" w:orient="portrait"/>
      <w:pgMar w:top="1000" w:right="1100" w:bottom="10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lvl w:ilvl="1" w15:tentative="1">
      <w:start w:val="1"/>
      <w:numFmt w:val="bullet"/>
      <w:lvlText w:val="◦"/>
      <w:lvlJc w:val="left"/>
      <w:pPr>
        <w:ind w:left="7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2026-08-25T16:39:11.349Z</dcterms:created>
  <dcterms:modified xsi:type="dcterms:W3CDTF">2026-08-25T16:39:11.349Z</dcterms:modified>
</cp:coreProperties>
</file>

<file path=docProps/custom.xml><?xml version="1.0" encoding="utf-8"?>
<Properties xmlns="http://schemas.openxmlformats.org/officeDocument/2006/custom-properties" xmlns:vt="http://schemas.openxmlformats.org/officeDocument/2006/docPropsVTypes"/>
</file>