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rFonts w:ascii="Calibri" w:cs="Calibri" w:eastAsia="Calibri" w:hAnsi="Calibri"/>
          <w:b/>
          <w:bCs/>
          <w:color w:val="232D4B"/>
          <w:sz w:val="36"/>
          <w:szCs w:val="36"/>
        </w:rPr>
        <w:t xml:space="preserve">CORPORATE RELATIONS — SCHOOL PLACEMENT QUICK REFERENCE</w:t>
      </w:r>
    </w:p>
    <w:p>
      <w:pPr>
        <w:pBdr>
          <w:bottom w:val="single" w:color="232D4B" w:sz="6" w:space="4"/>
        </w:pBdr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University of Virginia  |  Division of External Relations  |  Effective September 2026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B6472"/>
          <w:sz w:val="17"/>
          <w:szCs w:val="17"/>
        </w:rPr>
        <w:t xml:space="preserve">Theme key:  </w:t>
      </w:r>
      <w:r>
        <w:rPr>
          <w:rFonts w:ascii="Calibri" w:cs="Calibri" w:eastAsia="Calibri" w:hAnsi="Calibri"/>
          <w:b/>
          <w:bCs/>
          <w:color w:val="1F5BA6"/>
          <w:sz w:val="17"/>
          <w:szCs w:val="17"/>
        </w:rPr>
        <w:t xml:space="preserve">●  </w:t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>Tech, Computing &amp; AI   </w:t>
      </w:r>
      <w:r>
        <w:rPr>
          <w:rFonts w:ascii="Calibri" w:cs="Calibri" w:eastAsia="Calibri" w:hAnsi="Calibri"/>
          <w:b/>
          <w:bCs/>
          <w:color w:val="1E7A46"/>
          <w:sz w:val="17"/>
          <w:szCs w:val="17"/>
        </w:rPr>
        <w:t xml:space="preserve">●  </w:t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>Life Sciences &amp; Health   </w:t>
      </w:r>
      <w:r>
        <w:rPr>
          <w:rFonts w:ascii="Calibri" w:cs="Calibri" w:eastAsia="Calibri" w:hAnsi="Calibri"/>
          <w:b/>
          <w:bCs/>
          <w:color w:val="12767D"/>
          <w:sz w:val="17"/>
          <w:szCs w:val="17"/>
        </w:rPr>
        <w:t xml:space="preserve">●  </w:t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>Energy &amp; Environment   </w:t>
      </w:r>
      <w:r>
        <w:rPr>
          <w:rFonts w:ascii="Calibri" w:cs="Calibri" w:eastAsia="Calibri" w:hAnsi="Calibri"/>
          <w:b/>
          <w:bCs/>
          <w:color w:val="6C3483"/>
          <w:sz w:val="17"/>
          <w:szCs w:val="17"/>
        </w:rPr>
        <w:t xml:space="preserve">●  </w:t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>Democracy &amp; Policy   </w:t>
      </w:r>
      <w:r>
        <w:rPr>
          <w:rFonts w:ascii="Calibri" w:cs="Calibri" w:eastAsia="Calibri" w:hAnsi="Calibri"/>
          <w:b/>
          <w:bCs/>
          <w:color w:val="A05A00"/>
          <w:sz w:val="17"/>
          <w:szCs w:val="17"/>
        </w:rPr>
        <w:t xml:space="preserve">●  </w:t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>Business &amp; Commerce   </w:t>
      </w:r>
      <w:r>
        <w:rPr>
          <w:rFonts w:ascii="Calibri" w:cs="Calibri" w:eastAsia="Calibri" w:hAnsi="Calibri"/>
          <w:b/>
          <w:bCs/>
          <w:color w:val="5B6472"/>
          <w:sz w:val="17"/>
          <w:szCs w:val="17"/>
        </w:rPr>
        <w:t xml:space="preserve">●  </w:t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>Cross-cutting</w:t>
      </w:r>
    </w:p>
    <w:tbl>
      <w:tblPr>
        <w:tblW w:type="dxa" w:w="14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4150"/>
        <w:gridCol w:w="350"/>
        <w:gridCol w:w="2550"/>
        <w:gridCol w:w="4150"/>
        <w:gridCol w:w="350"/>
      </w:tblGrid>
      <w:tr>
        <w:tc>
          <w:tcPr>
            <w:tcW w:type="dxa" w:w="7050"/>
            <w:gridSpan w:val="2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232D4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RYAN WEIGAND</w:t>
            </w:r>
          </w:p>
        </w:tc>
        <w:tc>
          <w:tcPr>
            <w:tcW w:type="dxa" w:w="7050"/>
            <w:gridSpan w:val="2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232D4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CARRIE COMBS</w:t>
            </w:r>
          </w:p>
        </w:tc>
      </w:tr>
      <w:tr>
        <w:tc>
          <w:tcPr>
            <w:tcW w:type="dxa" w:w="25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E5720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School / Unit</w:t>
            </w:r>
          </w:p>
        </w:tc>
        <w:tc>
          <w:tcPr>
            <w:tcW w:type="dxa" w:w="41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E5720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3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E5720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5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E5720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School / Unit</w:t>
            </w:r>
          </w:p>
        </w:tc>
        <w:tc>
          <w:tcPr>
            <w:tcW w:type="dxa" w:w="41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E5720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3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E5720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School of Engineering</w:t>
            </w:r>
          </w:p>
        </w:tc>
        <w:tc>
          <w:tcPr>
            <w:tcW w:type="dxa" w:w="41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AI@UVA; Biocomplexity (joint)</w:t>
            </w:r>
          </w:p>
        </w:tc>
        <w:tc>
          <w:tcPr>
            <w:tcW w:type="dxa" w:w="3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BA6"/>
                <w:sz w:val="22"/>
                <w:szCs w:val="22"/>
              </w:rPr>
              <w:t xml:space="preserve">●</w:t>
            </w:r>
          </w:p>
        </w:tc>
        <w:tc>
          <w:tcPr>
            <w:tcW w:type="dxa" w:w="25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College &amp; Graduate School of A&amp;S (incl. Honors)</w:t>
            </w:r>
          </w:p>
        </w:tc>
        <w:tc>
          <w:tcPr>
            <w:tcW w:type="dxa" w:w="41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Largest school; broad industry potential</w:t>
            </w:r>
          </w:p>
        </w:tc>
        <w:tc>
          <w:tcPr>
            <w:tcW w:type="dxa" w:w="3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B6472"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25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School of Data Science</w:t>
            </w:r>
          </w:p>
        </w:tc>
        <w:tc>
          <w:tcPr>
            <w:tcW w:type="dxa" w:w="41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AI@UVA (joint w/ Engineering)</w:t>
            </w:r>
          </w:p>
        </w:tc>
        <w:tc>
          <w:tcPr>
            <w:tcW w:type="dxa" w:w="3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BA6"/>
                <w:sz w:val="22"/>
                <w:szCs w:val="22"/>
              </w:rPr>
              <w:t xml:space="preserve">●</w:t>
            </w:r>
          </w:p>
        </w:tc>
        <w:tc>
          <w:tcPr>
            <w:tcW w:type="dxa" w:w="25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767D"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25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School of Medicine (research)*</w:t>
            </w:r>
          </w:p>
        </w:tc>
        <w:tc>
          <w:tcPr>
            <w:tcW w:type="dxa" w:w="41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Manning Institute; Brain Institute</w:t>
            </w:r>
          </w:p>
        </w:tc>
        <w:tc>
          <w:tcPr>
            <w:tcW w:type="dxa" w:w="3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46"/>
                <w:sz w:val="22"/>
                <w:szCs w:val="22"/>
              </w:rPr>
              <w:t xml:space="preserve">●</w:t>
            </w:r>
          </w:p>
        </w:tc>
        <w:tc>
          <w:tcPr>
            <w:tcW w:type="dxa" w:w="25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Batten School</w:t>
            </w:r>
          </w:p>
        </w:tc>
        <w:tc>
          <w:tcPr>
            <w:tcW w:type="dxa" w:w="41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Karsh Institute; Miller Center; Ctr for Politics</w:t>
            </w:r>
          </w:p>
        </w:tc>
        <w:tc>
          <w:tcPr>
            <w:tcW w:type="dxa" w:w="3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C3483"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25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School of Nursing (research)*</w:t>
            </w:r>
          </w:p>
        </w:tc>
        <w:tc>
          <w:tcPr>
            <w:tcW w:type="dxa" w:w="41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Health equity, rural/aging, behavioral health</w:t>
            </w:r>
          </w:p>
        </w:tc>
        <w:tc>
          <w:tcPr>
            <w:tcW w:type="dxa" w:w="3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46"/>
                <w:sz w:val="22"/>
                <w:szCs w:val="22"/>
              </w:rPr>
              <w:t xml:space="preserve">●</w:t>
            </w:r>
          </w:p>
        </w:tc>
        <w:tc>
          <w:tcPr>
            <w:tcW w:type="dxa" w:w="25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School of Law</w:t>
            </w:r>
          </w:p>
        </w:tc>
        <w:tc>
          <w:tcPr>
            <w:tcW w:type="dxa" w:w="41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Education Rights Institute</w:t>
            </w:r>
          </w:p>
        </w:tc>
        <w:tc>
          <w:tcPr>
            <w:tcW w:type="dxa" w:w="3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C3483"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25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Center for Comparative Medicine</w:t>
            </w:r>
          </w:p>
        </w:tc>
        <w:tc>
          <w:tcPr>
            <w:tcW w:type="dxa" w:w="41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Lab animal medicine; research infrastructure</w:t>
            </w:r>
          </w:p>
        </w:tc>
        <w:tc>
          <w:tcPr>
            <w:tcW w:type="dxa" w:w="3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46"/>
                <w:sz w:val="22"/>
                <w:szCs w:val="22"/>
              </w:rPr>
              <w:t xml:space="preserve">●</w:t>
            </w:r>
          </w:p>
        </w:tc>
        <w:tc>
          <w:tcPr>
            <w:tcW w:type="dxa" w:w="25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Education &amp; Human Development (EHD)</w:t>
            </w:r>
          </w:p>
        </w:tc>
        <w:tc>
          <w:tcPr>
            <w:tcW w:type="dxa" w:w="41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Education Rights Institute</w:t>
            </w:r>
          </w:p>
        </w:tc>
        <w:tc>
          <w:tcPr>
            <w:tcW w:type="dxa" w:w="3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C3483"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25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Biocomplexity Institute</w:t>
            </w:r>
          </w:p>
        </w:tc>
        <w:tc>
          <w:tcPr>
            <w:tcW w:type="dxa" w:w="41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Pre-existing relationship, ongoing</w:t>
            </w:r>
          </w:p>
        </w:tc>
        <w:tc>
          <w:tcPr>
            <w:tcW w:type="dxa" w:w="3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B6472"/>
                <w:sz w:val="22"/>
                <w:szCs w:val="22"/>
              </w:rPr>
              <w:t xml:space="preserve">●</w:t>
            </w:r>
          </w:p>
        </w:tc>
        <w:tc>
          <w:tcPr>
            <w:tcW w:type="dxa" w:w="25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Darden School of Business</w:t>
            </w:r>
          </w:p>
        </w:tc>
        <w:tc>
          <w:tcPr>
            <w:tcW w:type="dxa" w:w="41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Exec ed, corporate philanthropy, applied research</w:t>
            </w:r>
          </w:p>
        </w:tc>
        <w:tc>
          <w:tcPr>
            <w:tcW w:type="dxa" w:w="3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A05A00"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25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Athletics</w:t>
            </w:r>
          </w:p>
        </w:tc>
        <w:tc>
          <w:tcPr>
            <w:tcW w:type="dxa" w:w="41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Sponsorship, licensing, multimedia rights</w:t>
            </w:r>
          </w:p>
        </w:tc>
        <w:tc>
          <w:tcPr>
            <w:tcW w:type="dxa" w:w="3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B6472"/>
                <w:sz w:val="22"/>
                <w:szCs w:val="22"/>
              </w:rPr>
              <w:t xml:space="preserve">●</w:t>
            </w:r>
          </w:p>
        </w:tc>
        <w:tc>
          <w:tcPr>
            <w:tcW w:type="dxa" w:w="25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McIntire School of Commerce</w:t>
            </w:r>
          </w:p>
        </w:tc>
        <w:tc>
          <w:tcPr>
            <w:tcW w:type="dxa" w:w="41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Financial services, consulting, emerging markets</w:t>
            </w:r>
          </w:p>
        </w:tc>
        <w:tc>
          <w:tcPr>
            <w:tcW w:type="dxa" w:w="3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A05A00"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25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UVA Library</w:t>
            </w:r>
          </w:p>
        </w:tc>
        <w:tc>
          <w:tcPr>
            <w:tcW w:type="dxa" w:w="41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BA6"/>
                <w:sz w:val="22"/>
                <w:szCs w:val="22"/>
              </w:rPr>
              <w:t xml:space="preserve">●</w:t>
            </w:r>
          </w:p>
        </w:tc>
        <w:tc>
          <w:tcPr>
            <w:tcW w:type="dxa" w:w="25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Continuing &amp; Professional Studies</w:t>
            </w:r>
          </w:p>
        </w:tc>
        <w:tc>
          <w:tcPr>
            <w:tcW w:type="dxa" w:w="41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Workforce pipeline; coordinates Wise</w:t>
            </w:r>
          </w:p>
        </w:tc>
        <w:tc>
          <w:tcPr>
            <w:tcW w:type="dxa" w:w="3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A05A00"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25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Environmental Institute</w:t>
            </w:r>
          </w:p>
        </w:tc>
        <w:tc>
          <w:tcPr>
            <w:tcW w:type="dxa" w:w="41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Pre-existing relationship, ongoing</w:t>
            </w:r>
          </w:p>
        </w:tc>
        <w:tc>
          <w:tcPr>
            <w:tcW w:type="dxa" w:w="3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767D"/>
                <w:sz w:val="22"/>
                <w:szCs w:val="22"/>
              </w:rPr>
              <w:t xml:space="preserve">●</w:t>
            </w:r>
          </w:p>
        </w:tc>
        <w:tc>
          <w:tcPr>
            <w:tcW w:type="dxa" w:w="25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UVA Wise</w:t>
            </w:r>
          </w:p>
        </w:tc>
        <w:tc>
          <w:tcPr>
            <w:tcW w:type="dxa" w:w="41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Coordinated through SCPS</w:t>
            </w:r>
          </w:p>
        </w:tc>
        <w:tc>
          <w:tcPr>
            <w:tcW w:type="dxa" w:w="3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A05A00"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25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/>
        </w:tc>
        <w:tc>
          <w:tcPr>
            <w:tcW w:type="dxa" w:w="41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/>
        </w:tc>
        <w:tc>
          <w:tcPr>
            <w:tcW w:type="dxa" w:w="3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/>
        </w:tc>
        <w:tc>
          <w:tcPr>
            <w:tcW w:type="dxa" w:w="25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Contemplative Sciences Center</w:t>
            </w:r>
          </w:p>
        </w:tc>
        <w:tc>
          <w:tcPr>
            <w:tcW w:type="dxa" w:w="41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B6472"/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46"/>
                <w:sz w:val="22"/>
                <w:szCs w:val="22"/>
              </w:rPr>
              <w:t xml:space="preserve">●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232D4B"/>
          <w:sz w:val="18"/>
          <w:szCs w:val="18"/>
        </w:rPr>
        <w:t xml:space="preserve">Not yet assigned — contact the CR team: 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UVA Arts (Fralin Museum, VA Film Festival)  •  VA Humanities  •  Gun Violence Solutions Project  •  Global  •  any other Provost-level initiative not listed above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5B6472"/>
          <w:sz w:val="16"/>
          <w:szCs w:val="16"/>
        </w:rPr>
        <w:t xml:space="preserve">*  = co-covered with Ahsan.   </w:t>
      </w:r>
      <w:r>
        <w:rPr>
          <w:rFonts w:ascii="Calibri" w:cs="Calibri" w:eastAsia="Calibri" w:hAnsi="Calibri"/>
          <w:i/>
          <w:iCs/>
          <w:color w:val="5B6472"/>
          <w:sz w:val="16"/>
          <w:szCs w:val="16"/>
        </w:rPr>
        <w:t xml:space="preserve">Health System is excluded from this model; Health-aligned corporate partnerships are managed separately.</w:t>
      </w:r>
    </w:p>
    <w:p>
      <w:pPr>
        <w:pBdr>
          <w:top w:val="single" w:color="CCCCCC" w:sz="4" w:space="6"/>
        </w:pBdr>
        <w:spacing w:before="260"/>
        <w:jc w:val="center"/>
      </w:pP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University of Virginia  |  Corporate Relations  |  Quick Reference — Effective September 2026  |  Internal Use Only  |  Full model: CR_School_Placement_Model_FINAL.docx</w:t>
      </w:r>
    </w:p>
    <w:sectPr>
      <w:pgSz w:w="15840" w:h="12240" w:orient="landscape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2026-10-23T19:41:14.731Z</dcterms:created>
  <dcterms:modified xsi:type="dcterms:W3CDTF">2026-10-23T19:41:14.731Z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