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32D4B"/>
          <w:sz w:val="34"/>
          <w:szCs w:val="34"/>
        </w:rPr>
        <w:t xml:space="preserve">CORPORATE RELATIONS — SCHOOL PLACEMENT QUICK REFERENCE</w:t>
      </w:r>
    </w:p>
    <w:p>
      <w:pPr>
        <w:pBdr>
          <w:bottom w:val="single" w:color="232D4B" w:sz="6" w:space="6"/>
        </w:pBdr>
        <w:spacing w:after="1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University of Virginia  |  Division of External Relations  |  Effective September 2026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3200"/>
        <w:gridCol w:w="4200"/>
      </w:tblGrid>
      <w:tr>
        <w:trPr>
          <w:tblHeader/>
        </w:trPr>
        <w:tc>
          <w:tcPr>
            <w:tcW w:type="dxa" w:w="720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OFFICER 1  —  RYAN WEIGAND</w:t>
            </w:r>
          </w:p>
        </w:tc>
        <w:tc>
          <w:tcPr>
            <w:tcW w:type="dxa" w:w="740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OFFICER 2  —  CARRIE COMBS</w:t>
            </w:r>
          </w:p>
        </w:tc>
      </w:tr>
      <w:tr>
        <w:trPr>
          <w:tblHeader/>
        </w:trP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School / Unit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Key Centers &amp; Institutes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School / Unit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Key Centers &amp; Institutes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School of Engineering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AI@UVA; Biocomplexity Institute (joint)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Environmental Institute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School of Data Science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AI@UVA (joint)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Batten School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Karsh Institute; Miller Center; Ctr for Politics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School of Medicine (research enterprise)*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Manning Institute of Biotechnology; Brain Institute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School of Law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Education Rights Institute (joint w/ EHD)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School of Nursing (research enterprise)*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Education &amp; Human Development (EHD)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Education Rights Institute (joint w/ Law)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Arts &amp; Sciences (incl. Honors College)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Darden School of Business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Athletics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Sponsorship &amp; licensing partnerships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McIntire School of Commerce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Center for Comparative Medicine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Continuing &amp; Professional Studies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Biocomplexity Institute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(joint w/ Officer 2)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UVA Wise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Coordinated via SCPS</w:t>
            </w:r>
          </w:p>
        </w:tc>
      </w:tr>
      <w:tr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UVA Library</w:t>
            </w:r>
          </w:p>
        </w:tc>
        <w:tc>
          <w:tcPr>
            <w:tcW w:type="dxa" w:w="40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Referral / case-by-case</w:t>
            </w:r>
          </w:p>
        </w:tc>
        <w:tc>
          <w:tcPr>
            <w:tcW w:type="dxa" w:w="3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Contemplative Sciences Center</w:t>
            </w:r>
          </w:p>
        </w:tc>
        <w:tc>
          <w:tcPr>
            <w:tcW w:type="dxa" w:w="42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Referral / case-by-case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232D4B"/>
          <w:sz w:val="18"/>
          <w:szCs w:val="18"/>
        </w:rPr>
        <w:t xml:space="preserve">Not tied to a school — contact the CR team: 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UVA Arts  •  VA Humanities  •  Gun Violence Solutions Project  •  Global  •  any other Provost-level initiative or research center not listed above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5B6472"/>
          <w:sz w:val="15"/>
          <w:szCs w:val="15"/>
        </w:rPr>
        <w:t xml:space="preserve">*  = co-covered with Ahsan   </w:t>
      </w:r>
      <w:r>
        <w:rPr>
          <w:rFonts w:ascii="Calibri" w:cs="Calibri" w:eastAsia="Calibri" w:hAnsi="Calibri"/>
          <w:i/>
          <w:iCs/>
          <w:color w:val="5B6472"/>
          <w:sz w:val="15"/>
          <w:szCs w:val="15"/>
        </w:rPr>
        <w:t xml:space="preserve">(joint)  = shared coverage between both officers   </w:t>
      </w:r>
      <w:r>
        <w:rPr>
          <w:rFonts w:ascii="Calibri" w:cs="Calibri" w:eastAsia="Calibri" w:hAnsi="Calibri"/>
          <w:i/>
          <w:iCs/>
          <w:color w:val="5B6472"/>
          <w:sz w:val="15"/>
          <w:szCs w:val="15"/>
        </w:rPr>
        <w:t xml:space="preserve">Health System is excluded from this model; Health-aligned corporate partnerships are managed separately.</w:t>
      </w:r>
    </w:p>
    <w:p>
      <w:pPr>
        <w:pBdr>
          <w:top w:val="single" w:color="CCCCCC" w:sz="4" w:space="6"/>
        </w:pBdr>
        <w:spacing w:before="200"/>
        <w:jc w:val="center"/>
      </w:pPr>
      <w:r>
        <w:rPr>
          <w:rFonts w:ascii="Calibri" w:cs="Calibri" w:eastAsia="Calibri" w:hAnsi="Calibri"/>
          <w:i/>
          <w:iCs/>
          <w:color w:val="666666"/>
          <w:sz w:val="15"/>
          <w:szCs w:val="15"/>
        </w:rPr>
        <w:t xml:space="preserve">University of Virginia  |  Corporate Relations  |  Quick Reference — Effective September 2026  |  Internal Use Only  |  Full model: CR_School_Placement_Model.docx</w:t>
      </w:r>
    </w:p>
    <w:sectPr>
      <w:pgSz w:w="12240" w:h="15840" w:orient="landscape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2026-09-04T14:14:18.983Z</dcterms:created>
  <dcterms:modified xsi:type="dcterms:W3CDTF">2026-09-04T14:14:18.995Z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