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32D4B"/>
          <w:sz w:val="32"/>
          <w:szCs w:val="32"/>
        </w:rPr>
        <w:t xml:space="preserve">CORPORATE RELATIONS — SCHOOL PLACEMENT QUICK REFERENCE</w:t>
      </w:r>
    </w:p>
    <w:p>
      <w:pPr>
        <w:pBdr>
          <w:bottom w:val="single" w:color="232D4B" w:sz="6" w:space="6"/>
        </w:pBdr>
        <w:spacing w:after="100"/>
      </w:pPr>
      <w:r>
        <w:rPr>
          <w:rFonts w:ascii="Calibri" w:cs="Calibri" w:eastAsia="Calibri" w:hAnsi="Calibri"/>
          <w:i/>
          <w:iCs/>
          <w:color w:val="444444"/>
          <w:sz w:val="17"/>
          <w:szCs w:val="17"/>
        </w:rPr>
        <w:t xml:space="preserve">University of Virginia  |  Division of External Relations  |  Effective September 2026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5B6472"/>
          <w:sz w:val="16"/>
          <w:szCs w:val="16"/>
        </w:rPr>
        <w:t xml:space="preserve">Theme key:   </w:t>
      </w:r>
      <w:r>
        <w:rPr>
          <w:rFonts w:ascii="Calibri" w:cs="Calibri" w:eastAsia="Calibri" w:hAnsi="Calibri"/>
          <w:b/>
          <w:bCs/>
          <w:color w:val="1F5BA6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Technology, Computing &amp; AI    </w:t>
      </w:r>
      <w:r>
        <w:rPr>
          <w:rFonts w:ascii="Calibri" w:cs="Calibri" w:eastAsia="Calibri" w:hAnsi="Calibri"/>
          <w:b/>
          <w:bCs/>
          <w:color w:val="1E7A46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Life Sciences, Biotech &amp; Health Innovation    </w:t>
      </w:r>
      <w:r>
        <w:rPr>
          <w:rFonts w:ascii="Calibri" w:cs="Calibri" w:eastAsia="Calibri" w:hAnsi="Calibri"/>
          <w:b/>
          <w:bCs/>
          <w:color w:val="12767D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Energy, Environment &amp; Sustainability    </w:t>
      </w:r>
      <w:r>
        <w:rPr>
          <w:rFonts w:ascii="Calibri" w:cs="Calibri" w:eastAsia="Calibri" w:hAnsi="Calibri"/>
          <w:b/>
          <w:bCs/>
          <w:color w:val="6C3483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Democracy, Policy &amp; Social Innovation    </w:t>
      </w:r>
      <w:r>
        <w:rPr>
          <w:rFonts w:ascii="Calibri" w:cs="Calibri" w:eastAsia="Calibri" w:hAnsi="Calibri"/>
          <w:b/>
          <w:bCs/>
          <w:color w:val="A05A00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Business, Commerce &amp; Emerging Markets    </w:t>
      </w:r>
      <w:r>
        <w:rPr>
          <w:rFonts w:ascii="Calibri" w:cs="Calibri" w:eastAsia="Calibri" w:hAnsi="Calibri"/>
          <w:b/>
          <w:bCs/>
          <w:color w:val="5B6472"/>
          <w:sz w:val="16"/>
          <w:szCs w:val="16"/>
        </w:rPr>
        <w:t xml:space="preserve">●  </w:t>
      </w:r>
      <w:r>
        <w:rPr>
          <w:rFonts w:ascii="Calibri" w:cs="Calibri" w:eastAsia="Calibri" w:hAnsi="Calibri"/>
          <w:color w:val="444444"/>
          <w:sz w:val="16"/>
          <w:szCs w:val="16"/>
        </w:rPr>
        <w:t xml:space="preserve">Cross-cutting / multiple themes</w:t>
      </w:r>
    </w:p>
    <w:tbl>
      <w:tblPr>
        <w:tblW w:type="dxa" w:w="141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3700"/>
        <w:gridCol w:w="420"/>
        <w:gridCol w:w="2950"/>
        <w:gridCol w:w="3700"/>
        <w:gridCol w:w="420"/>
      </w:tblGrid>
      <w:tr>
        <w:tc>
          <w:tcPr>
            <w:tcW w:type="dxa" w:w="707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RYAN WEIGAND</w:t>
            </w:r>
          </w:p>
        </w:tc>
        <w:tc>
          <w:tcPr>
            <w:tcW w:type="dxa" w:w="7070"/>
            <w:gridSpan w:val="2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232D4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 COMBS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School / Unit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Notes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School / Unit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Notes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E5720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School of Engineering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AI@UVA; Biocomplexity (joint); energy systems (secondary, joint w/ Carrie)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BA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College &amp; Graduate School of A&amp;S (incl. Honors)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Largest school; most industry-engagement opportunity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School of Data Science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AI@UVA (joint w/ Engineering)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BA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Architecture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—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2767D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School of Medicine (research)*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Manning Institute; Brain Institute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7A4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Batten School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Karsh Institute for Democracy; Miller Center; Ctr for Politics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6C3483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School of Nursing (research)*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Health equity, rural health, aging, behavioral health research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7A4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School of Law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Education Rights Institute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6C3483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Center for Comparative Medicine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Laboratory animal medicine / research infrastructure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7A4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Education &amp; Human Development (EHD)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Education Rights Institute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6C3483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Biocomplexity Institute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Pre-existing relationships, ongoing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Darden School of Business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Executive education, corporate philanthropy, applied research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A05A00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Athletics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Sponsorship, licensing, multimedia-rights partnerships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5B6472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McIntire School of Commerce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Financial services, consulting, emerging markets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A05A00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UVA Library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—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F5BA6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Continuing &amp; Professional Studies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Workforce pipeline; regional coordination point for Wise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A05A00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Environmental Institute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Pre-existing relationships, ongoing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2767D"/>
                <w:sz w:val="20"/>
                <w:szCs w:val="20"/>
              </w:rPr>
              <w:t xml:space="preserve">●</w:t>
            </w:r>
          </w:p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UVA Wise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Coordinated through SCPS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A05A00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—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</w:tcPr>
          <w:p/>
        </w:tc>
        <w:tc>
          <w:tcPr>
            <w:tcW w:type="dxa" w:w="295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17"/>
                <w:szCs w:val="17"/>
              </w:rPr>
              <w:t xml:space="preserve">Contemplative Sciences Center</w:t>
            </w:r>
          </w:p>
        </w:tc>
        <w:tc>
          <w:tcPr>
            <w:tcW w:type="dxa" w:w="370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/>
                <w:iCs/>
                <w:color w:val="5B6472"/>
                <w:sz w:val="14"/>
                <w:szCs w:val="14"/>
              </w:rPr>
              <w:t xml:space="preserve">—</w:t>
            </w:r>
          </w:p>
        </w:tc>
        <w:tc>
          <w:tcPr>
            <w:tcW w:type="dxa" w:w="420"/>
            <w:tcBorders>
              <w:top w:val="single" w:color="D9DCE3" w:sz="2"/>
              <w:left w:val="single" w:color="D9DCE3" w:sz="2"/>
              <w:bottom w:val="single" w:color="D9DCE3" w:sz="2"/>
              <w:right w:val="single" w:color="D9DCE3" w:sz="2"/>
            </w:tcBorders>
            <w:shd w:fill="F4F5F7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7A46"/>
                <w:sz w:val="20"/>
                <w:szCs w:val="20"/>
              </w:rPr>
              <w:t xml:space="preserve">●</w:t>
            </w:r>
          </w:p>
        </w:tc>
      </w:tr>
    </w:tbl>
    <w:p>
      <w:pPr>
        <w:spacing w:after="50" w:before="140"/>
      </w:pPr>
      <w:r>
        <w:rPr>
          <w:rFonts w:ascii="Calibri" w:cs="Calibri" w:eastAsia="Calibri" w:hAnsi="Calibri"/>
          <w:b/>
          <w:bCs/>
          <w:color w:val="232D4B"/>
          <w:sz w:val="16"/>
          <w:szCs w:val="16"/>
        </w:rPr>
        <w:t xml:space="preserve">Not yet assigned — contact the CR team:  </w:t>
      </w:r>
      <w:r>
        <w:rPr>
          <w:rFonts w:ascii="Calibri" w:cs="Calibri" w:eastAsia="Calibri" w:hAnsi="Calibri"/>
          <w:color w:val="333333"/>
          <w:sz w:val="16"/>
          <w:szCs w:val="16"/>
        </w:rPr>
        <w:t xml:space="preserve">UVA Arts (Fralin Museum, VA Film Festival)  •  VA Humanities  •  Gun Violence Solutions Project  •  Global  •  any other Provost-level initiative not listed above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5B6472"/>
          <w:sz w:val="14"/>
          <w:szCs w:val="14"/>
        </w:rPr>
        <w:t xml:space="preserve">*  = co-covered with Ahsan.   </w:t>
      </w:r>
      <w:r>
        <w:rPr>
          <w:rFonts w:ascii="Calibri" w:cs="Calibri" w:eastAsia="Calibri" w:hAnsi="Calibri"/>
          <w:i/>
          <w:iCs/>
          <w:color w:val="5B6472"/>
          <w:sz w:val="14"/>
          <w:szCs w:val="14"/>
        </w:rPr>
        <w:t xml:space="preserve">Health System is excluded from this model; Health-aligned corporate partnerships are managed separately.</w:t>
      </w:r>
    </w:p>
    <w:p>
      <w:pPr>
        <w:pBdr>
          <w:top w:val="single" w:color="CCCCCC" w:sz="4" w:space="6"/>
        </w:pBdr>
        <w:spacing w:before="160"/>
        <w:jc w:val="center"/>
      </w:pPr>
      <w:r>
        <w:rPr>
          <w:rFonts w:ascii="Calibri" w:cs="Calibri" w:eastAsia="Calibri" w:hAnsi="Calibri"/>
          <w:i/>
          <w:iCs/>
          <w:color w:val="666666"/>
          <w:sz w:val="14"/>
          <w:szCs w:val="14"/>
        </w:rPr>
        <w:t xml:space="preserve">University of Virginia  |  Corporate Relations  |  Quick Reference — Effective September 2026  |  Internal Use Only  |  Full model: CR_School_Placement_Model_FINAL.docx</w:t>
      </w:r>
    </w:p>
    <w:sectPr>
      <w:pgSz w:w="12240" w:h="15840" w:orient="landscape"/>
      <w:pgMar w:top="560" w:right="560" w:bottom="56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2026-10-23T19:30:52.748Z</dcterms:created>
  <dcterms:modified xsi:type="dcterms:W3CDTF">2026-10-23T19:30:52.761Z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