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&amp; Unit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pBdr>
          <w:bottom w:val="single" w:color="CCCCCC" w:sz="4" w:space="4"/>
        </w:pBdr>
        <w:spacing w:after="120" w:before="30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The Corporate Relations team will adopt a school and unit placement model, beginning September 2026, designed to reimagine how we organize our work to best support corporate fundraising across Grounds. This model — mirroring the placement model the Foundation Relations team piloted beginning April 2026 — enables Corporate Relations development officers to be more deeply embedded in select schools and units and serve as a consistent point of contact.</w:t>
      </w:r>
    </w:p>
    <w:p>
      <w:pPr>
        <w:spacing w:after="140"/>
      </w:pPr>
      <w:r>
        <w:rPr>
          <w:rFonts w:ascii="Calibri" w:cs="Calibri" w:eastAsia="Calibri" w:hAnsi="Calibri"/>
          <w:color w:val="1A1A1A"/>
          <w:sz w:val="21"/>
          <w:szCs w:val="21"/>
        </w:rPr>
        <w:t xml:space="preserve">With two full-time corporate officers, this model maximizes coverage by pairing each officer with a set of schools and the centers, institutes, and initiatives that most closely support them. The Health System is excluded from this model; 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Heading1"/>
        <w:pBdr>
          <w:bottom w:val="single" w:color="CCCCCC" w:sz="4" w:space="4"/>
        </w:pBdr>
        <w:spacing w:after="120" w:before="30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color w:val="1A1A1A"/>
          <w:sz w:val="21"/>
          <w:szCs w:val="21"/>
        </w:rPr>
        <w:t xml:space="preserve">Assignments are organized around schools and key university priorities with significant corporate funding potential, while ensuring that assignments are balanced within the team.</w:t>
      </w:r>
    </w:p>
    <w:p>
      <w:pPr>
        <w:pStyle w:val="ListParagraph"/>
        <w:numPr>
          <w:ilvl w:val="0"/>
          <w:numId w:val="2"/>
        </w:numPr>
        <w:spacing w:after="90"/>
      </w:pPr>
      <w:r>
        <w:rPr>
          <w:rFonts w:ascii="Calibri" w:cs="Calibri" w:eastAsia="Calibri" w:hAnsi="Calibri"/>
          <w:color w:val="1A1A1A"/>
          <w:sz w:val="21"/>
          <w:szCs w:val="21"/>
        </w:rPr>
        <w:t xml:space="preserve">While this model creates an officer lead for units, the team will work collaboratively across assignments as needed to provide necessary support.</w:t>
      </w:r>
    </w:p>
    <w:p>
      <w:pPr>
        <w:pStyle w:val="ListParagraph"/>
        <w:numPr>
          <w:ilvl w:val="0"/>
          <w:numId w:val="2"/>
        </w:numPr>
        <w:spacing w:after="90"/>
      </w:pPr>
      <w:r>
        <w:rPr>
          <w:rFonts w:ascii="Calibri" w:cs="Calibri" w:eastAsia="Calibri" w:hAnsi="Calibri"/>
          <w:color w:val="1A1A1A"/>
          <w:sz w:val="21"/>
          <w:szCs w:val="21"/>
        </w:rPr>
        <w:t xml:space="preserve">All 12 schools and Wise have a Corporate Relations point of contact; not all pan-university initiatives and centers do. Team support for the latter is based on prospective funding opportunities (see “Not Yet Assigned” below).</w:t>
      </w:r>
    </w:p>
    <w:p>
      <w:pPr>
        <w:pStyle w:val="ListParagraph"/>
        <w:numPr>
          <w:ilvl w:val="0"/>
          <w:numId w:val="2"/>
        </w:numPr>
        <w:spacing w:after="90"/>
      </w:pPr>
      <w:r>
        <w:rPr>
          <w:rFonts w:ascii="Calibri" w:cs="Calibri" w:eastAsia="Calibri" w:hAnsi="Calibri"/>
          <w:color w:val="1A1A1A"/>
          <w:sz w:val="21"/>
          <w:szCs w:val="21"/>
        </w:rPr>
        <w:t xml:space="preserve">In the first year of this model, we anticipate the need to calibrate assignments based on team and unit feedback.</w:t>
      </w:r>
    </w:p>
    <w:p>
      <w:pPr>
        <w:pStyle w:val="ListParagraph"/>
        <w:numPr>
          <w:ilvl w:val="0"/>
          <w:numId w:val="2"/>
        </w:numPr>
        <w:spacing w:after="90"/>
      </w:pPr>
      <w:r>
        <w:rPr>
          <w:rFonts w:ascii="Calibri" w:cs="Calibri" w:eastAsia="Calibri" w:hAnsi="Calibri"/>
          <w:color w:val="1A1A1A"/>
          <w:sz w:val="21"/>
          <w:szCs w:val="21"/>
        </w:rPr>
        <w:t xml:space="preserve">To the extent possible, team portfolios will align with placement assignments; however, we acknowledge there are existing corporate relationships that may not fit neatly within this structure.</w:t>
      </w:r>
    </w:p>
    <w:p>
      <w:pPr>
        <w:pStyle w:val="Heading1"/>
        <w:pBdr>
          <w:bottom w:val="single" w:color="CCCCCC" w:sz="4" w:space="4"/>
        </w:pBdr>
        <w:spacing w:after="120" w:before="30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refine shared priorities, review funding needs, discuss prospects, and report on faculty engagement and proposal activity.</w:t>
      </w:r>
    </w:p>
    <w:p>
      <w:pPr>
        <w:pStyle w:val="ListParagraph"/>
        <w:numPr>
          <w:ilvl w:val="0"/>
          <w:numId w:val="2"/>
        </w:numPr>
        <w:spacing w:after="90"/>
      </w:pPr>
      <w:r>
        <w:rPr>
          <w:rFonts w:ascii="Calibri" w:cs="Calibri" w:eastAsia="Calibri" w:hAnsi="Calibri"/>
          <w:b/>
          <w:bCs/>
          <w:color w:val="1A1A1A"/>
          <w:sz w:val="21"/>
          <w:szCs w:val="21"/>
        </w:rPr>
        <w:t xml:space="preserve">Ensure timely delivery of team services, including:</w:t>
      </w:r>
    </w:p>
    <w:p>
      <w:pPr>
        <w:pStyle w:val="ListParagraph"/>
        <w:numPr>
          <w:ilvl w:val="1"/>
          <w:numId w:val="2"/>
        </w:numPr>
        <w:spacing w:after="90"/>
      </w:pPr>
      <w:r>
        <w:rPr>
          <w:rFonts w:ascii="Calibri" w:cs="Calibri" w:eastAsia="Calibri" w:hAnsi="Calibri"/>
          <w:color w:val="1A1A1A"/>
          <w:sz w:val="21"/>
          <w:szCs w:val="21"/>
        </w:rPr>
        <w:t xml:space="preserve">Develop and prioritize prospect lists</w:t>
      </w:r>
    </w:p>
    <w:p>
      <w:pPr>
        <w:pStyle w:val="ListParagraph"/>
        <w:numPr>
          <w:ilvl w:val="1"/>
          <w:numId w:val="2"/>
        </w:numPr>
        <w:spacing w:after="90"/>
      </w:pPr>
      <w:r>
        <w:rPr>
          <w:rFonts w:ascii="Calibri" w:cs="Calibri" w:eastAsia="Calibri" w:hAnsi="Calibri"/>
          <w:color w:val="1A1A1A"/>
          <w:sz w:val="21"/>
          <w:szCs w:val="21"/>
        </w:rPr>
        <w:t xml:space="preserve">Navigate corporate proposal process and timelines</w:t>
      </w:r>
    </w:p>
    <w:p>
      <w:pPr>
        <w:pStyle w:val="ListParagraph"/>
        <w:numPr>
          <w:ilvl w:val="1"/>
          <w:numId w:val="2"/>
        </w:numPr>
        <w:spacing w:after="90"/>
      </w:pPr>
      <w:r>
        <w:rPr>
          <w:rFonts w:ascii="Calibri" w:cs="Calibri" w:eastAsia="Calibri" w:hAnsi="Calibri"/>
          <w:color w:val="1A1A1A"/>
          <w:sz w:val="21"/>
          <w:szCs w:val="21"/>
        </w:rPr>
        <w:t xml:space="preserve">Advise on strategies and relationships with corporate partners and staff</w:t>
      </w:r>
    </w:p>
    <w:p>
      <w:pPr>
        <w:pStyle w:val="ListParagraph"/>
        <w:numPr>
          <w:ilvl w:val="1"/>
          <w:numId w:val="2"/>
        </w:numPr>
        <w:spacing w:after="90"/>
      </w:pPr>
      <w:r>
        <w:rPr>
          <w:rFonts w:ascii="Calibri" w:cs="Calibri" w:eastAsia="Calibri" w:hAnsi="Calibri"/>
          <w:color w:val="1A1A1A"/>
          <w:sz w:val="21"/>
          <w:szCs w:val="21"/>
        </w:rPr>
        <w:t xml:space="preserve">Prepare for and staff meetings with corporate partners</w:t>
      </w:r>
    </w:p>
    <w:p>
      <w:pPr>
        <w:pStyle w:val="ListParagraph"/>
        <w:numPr>
          <w:ilvl w:val="1"/>
          <w:numId w:val="2"/>
        </w:numPr>
        <w:spacing w:after="90"/>
      </w:pPr>
      <w:r>
        <w:rPr>
          <w:rFonts w:ascii="Calibri" w:cs="Calibri" w:eastAsia="Calibri" w:hAnsi="Calibri"/>
          <w:color w:val="1A1A1A"/>
          <w:sz w:val="21"/>
          <w:szCs w:val="21"/>
        </w:rPr>
        <w:t xml:space="preserve">Assist with proposal development, review, and writing submission</w:t>
      </w:r>
    </w:p>
    <w:p>
      <w:pPr>
        <w:pStyle w:val="ListParagraph"/>
        <w:numPr>
          <w:ilvl w:val="1"/>
          <w:numId w:val="2"/>
        </w:numPr>
        <w:spacing w:after="90"/>
      </w:pPr>
      <w:r>
        <w:rPr>
          <w:rFonts w:ascii="Calibri" w:cs="Calibri" w:eastAsia="Calibri" w:hAnsi="Calibri"/>
          <w:color w:val="1A1A1A"/>
          <w:sz w:val="21"/>
          <w:szCs w:val="21"/>
        </w:rPr>
        <w:t xml:space="preserve">Build stewardship plans</w:t>
      </w:r>
    </w:p>
    <w:p>
      <w:pPr>
        <w:pStyle w:val="ListParagraph"/>
        <w:numPr>
          <w:ilvl w:val="0"/>
          <w:numId w:val="2"/>
        </w:numPr>
        <w:spacing w:after="90"/>
      </w:pPr>
      <w:r>
        <w:rPr>
          <w:rFonts w:ascii="Calibri" w:cs="Calibri" w:eastAsia="Calibri" w:hAnsi="Calibri"/>
          <w:color w:val="1A1A1A"/>
          <w:sz w:val="21"/>
          <w:szCs w:val="21"/>
        </w:rPr>
        <w:t xml:space="preserve">Once this model is established, a long-term vision is to jointly build with schools an annual corporate engagement plan.</w:t>
      </w:r>
    </w:p>
    <w:p>
      <w:pPr>
        <w:pStyle w:val="Heading1"/>
        <w:pBdr>
          <w:bottom w:val="single" w:color="CCCCCC" w:sz="4" w:space="4"/>
        </w:pBdr>
        <w:spacing w:after="120" w:before="300"/>
      </w:pPr>
      <w:r>
        <w:rPr>
          <w:rFonts w:ascii="Calibri" w:cs="Calibri" w:eastAsia="Calibri" w:hAnsi="Calibri"/>
          <w:b/>
          <w:bCs/>
          <w:color w:val="232D4B"/>
          <w:sz w:val="26"/>
          <w:szCs w:val="26"/>
        </w:rPr>
        <w:t xml:space="preserve">Corporate Relations Assignments (Effective September 2026)</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200"/>
        <w:gridCol w:w="7040"/>
      </w:tblGrid>
      <w:tr>
        <w:trPr>
          <w:tblHeader/>
        </w:trPr>
        <w:tc>
          <w:tcPr>
            <w:tcW w:type="dxa" w:w="10240"/>
            <w:gridSpan w:val="2"/>
            <w:tcBorders>
              <w:top w:val="single" w:color="D9DCE3" w:sz="2"/>
              <w:left w:val="single" w:color="D9DCE3" w:sz="2"/>
              <w:bottom w:val="single" w:color="D9DCE3" w:sz="2"/>
              <w:right w:val="single" w:color="D9DCE3" w:sz="2"/>
            </w:tcBorders>
            <w:shd w:fill="232D4B" w:color="auto" w:val="clear"/>
            <w:tcMar>
              <w:top w:type="dxa" w:w="120"/>
              <w:left w:type="dxa" w:w="160"/>
              <w:bottom w:type="dxa" w:w="120"/>
              <w:right w:type="dxa" w:w="160"/>
            </w:tcMar>
          </w:tcPr>
          <w:p>
            <w:r>
              <w:rPr>
                <w:rFonts w:ascii="Calibri" w:cs="Calibri" w:eastAsia="Calibri" w:hAnsi="Calibri"/>
                <w:b/>
                <w:bCs/>
                <w:color w:val="FFFFFF"/>
                <w:sz w:val="26"/>
                <w:szCs w:val="26"/>
              </w:rPr>
              <w:t xml:space="preserve">Ryan Weigand</w:t>
            </w:r>
          </w:p>
        </w:tc>
      </w:tr>
      <w:tr>
        <w:trPr>
          <w:tblHeader/>
        </w:trPr>
        <w:tc>
          <w:tcPr>
            <w:tcW w:type="dxa" w:w="320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Category</w:t>
            </w:r>
          </w:p>
        </w:tc>
        <w:tc>
          <w:tcPr>
            <w:tcW w:type="dxa" w:w="704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Unit Name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Engineering</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Data Science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AI@UVA (Provost)</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Medicine (research enterprise) — working alongside Ahsan</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Nursing (research enterprise) — working alongside Ahsan</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Manning Institute of Biotechnology</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Brain Institute</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Center for Comparative Medicine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Arts &amp; Sciences</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College &amp; Graduate School of Arts &amp; Sciences (incl. Honors College)</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Provost</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Biocomplexity Institute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Provost</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Environmental Institute</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Athletics</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Athletics</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Library</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Library</w:t>
            </w:r>
          </w:p>
        </w:tc>
      </w:tr>
    </w:tbl>
    <w:p>
      <w:pPr>
        <w:spacing w:after="0" w:before="220"/>
      </w:pP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200"/>
        <w:gridCol w:w="7040"/>
      </w:tblGrid>
      <w:tr>
        <w:trPr>
          <w:tblHeader/>
        </w:trPr>
        <w:tc>
          <w:tcPr>
            <w:tcW w:type="dxa" w:w="10240"/>
            <w:gridSpan w:val="2"/>
            <w:tcBorders>
              <w:top w:val="single" w:color="D9DCE3" w:sz="2"/>
              <w:left w:val="single" w:color="D9DCE3" w:sz="2"/>
              <w:bottom w:val="single" w:color="D9DCE3" w:sz="2"/>
              <w:right w:val="single" w:color="D9DCE3" w:sz="2"/>
            </w:tcBorders>
            <w:shd w:fill="232D4B" w:color="auto" w:val="clear"/>
            <w:tcMar>
              <w:top w:type="dxa" w:w="120"/>
              <w:left w:type="dxa" w:w="160"/>
              <w:bottom w:type="dxa" w:w="120"/>
              <w:right w:type="dxa" w:w="160"/>
            </w:tcMar>
          </w:tcPr>
          <w:p>
            <w:r>
              <w:rPr>
                <w:rFonts w:ascii="Calibri" w:cs="Calibri" w:eastAsia="Calibri" w:hAnsi="Calibri"/>
                <w:b/>
                <w:bCs/>
                <w:color w:val="FFFFFF"/>
                <w:sz w:val="26"/>
                <w:szCs w:val="26"/>
              </w:rPr>
              <w:t xml:space="preserve">Carrie Combs</w:t>
            </w:r>
          </w:p>
        </w:tc>
      </w:tr>
      <w:tr>
        <w:trPr>
          <w:tblHeader/>
        </w:trPr>
        <w:tc>
          <w:tcPr>
            <w:tcW w:type="dxa" w:w="320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Category</w:t>
            </w:r>
          </w:p>
        </w:tc>
        <w:tc>
          <w:tcPr>
            <w:tcW w:type="dxa" w:w="704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Unit Name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Architecture</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Architecture</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Batten School</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Karsh Institute for Democracy (includes Weldon Cooper Center)</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Miller Center</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Center for Politics</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Law</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Law</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Education</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Education Rights Institute (Law School)</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Education</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Education &amp; Human Development (EHD)</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Business</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Darden School of Business</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Business</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McIntire School of Commerce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SCPS</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Continuing &amp; Professional Studies</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Wise</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Wise</w:t>
            </w:r>
          </w:p>
        </w:tc>
      </w:tr>
      <w:tr>
        <w:tc>
          <w:tcPr>
            <w:tcW w:type="dxa" w:w="320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CSC</w:t>
            </w:r>
          </w:p>
        </w:tc>
        <w:tc>
          <w:tcPr>
            <w:tcW w:type="dxa" w:w="704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Contemplative Sciences Center</w:t>
            </w:r>
          </w:p>
        </w:tc>
      </w:tr>
      <w:tr>
        <w:tc>
          <w:tcPr>
            <w:tcW w:type="dxa" w:w="320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Arts</w:t>
            </w:r>
          </w:p>
        </w:tc>
        <w:tc>
          <w:tcPr>
            <w:tcW w:type="dxa" w:w="704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Arts (Fralin Museum of Art, Virginia Film Festival, and related programs)</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Not Yet Assigned</w:t>
      </w:r>
    </w:p>
    <w:p>
      <w:pPr>
        <w:spacing w:after="140"/>
      </w:pPr>
      <w:r>
        <w:rPr>
          <w:rFonts w:ascii="Calibri" w:cs="Calibri" w:eastAsia="Calibri" w:hAnsi="Calibri"/>
          <w:color w:val="1A1A1A"/>
          <w:sz w:val="21"/>
          <w:szCs w:val="21"/>
        </w:rPr>
        <w:t xml:space="preserve">The following pan-university initiatives do not yet have a dedicated Corporate Relations assignment. Reach out to the team to discuss prospective partners — we will assess fit and assign a lead:</w:t>
      </w:r>
    </w:p>
    <w:p>
      <w:pPr>
        <w:pStyle w:val="ListParagraph"/>
        <w:numPr>
          <w:ilvl w:val="0"/>
          <w:numId w:val="2"/>
        </w:numPr>
        <w:spacing w:after="90"/>
      </w:pPr>
      <w:r>
        <w:rPr>
          <w:rFonts w:ascii="Calibri" w:cs="Calibri" w:eastAsia="Calibri" w:hAnsi="Calibri"/>
          <w:color w:val="1A1A1A"/>
          <w:sz w:val="21"/>
          <w:szCs w:val="21"/>
        </w:rPr>
        <w:t xml:space="preserve">VA Humanities (includes the VA Festival of the Book)</w:t>
      </w:r>
    </w:p>
    <w:p>
      <w:pPr>
        <w:pStyle w:val="ListParagraph"/>
        <w:numPr>
          <w:ilvl w:val="0"/>
          <w:numId w:val="2"/>
        </w:numPr>
        <w:spacing w:after="90"/>
      </w:pPr>
      <w:r>
        <w:rPr>
          <w:rFonts w:ascii="Calibri" w:cs="Calibri" w:eastAsia="Calibri" w:hAnsi="Calibri"/>
          <w:color w:val="1A1A1A"/>
          <w:sz w:val="21"/>
          <w:szCs w:val="21"/>
        </w:rPr>
        <w:t xml:space="preserve">Gun Violence Solutions Project</w:t>
      </w:r>
    </w:p>
    <w:p>
      <w:pPr>
        <w:pStyle w:val="ListParagraph"/>
        <w:numPr>
          <w:ilvl w:val="0"/>
          <w:numId w:val="2"/>
        </w:numPr>
        <w:spacing w:after="90"/>
      </w:pPr>
      <w:r>
        <w:rPr>
          <w:rFonts w:ascii="Calibri" w:cs="Calibri" w:eastAsia="Calibri" w:hAnsi="Calibri"/>
          <w:color w:val="1A1A1A"/>
          <w:sz w:val="21"/>
          <w:szCs w:val="21"/>
        </w:rPr>
        <w:t xml:space="preserve">Global (Office of the Vice Provost for Global Affairs)</w:t>
      </w:r>
    </w:p>
    <w:p>
      <w:pPr>
        <w:pStyle w:val="ListParagraph"/>
        <w:numPr>
          <w:ilvl w:val="0"/>
          <w:numId w:val="2"/>
        </w:numPr>
        <w:spacing w:after="90"/>
      </w:pPr>
      <w:r>
        <w:rPr>
          <w:rFonts w:ascii="Calibri" w:cs="Calibri" w:eastAsia="Calibri" w:hAnsi="Calibri"/>
          <w:color w:val="1A1A1A"/>
          <w:sz w:val="21"/>
          <w:szCs w:val="21"/>
        </w:rPr>
        <w:t xml:space="preserve">Any other Provost-level initiative or research center not listed above</w:t>
      </w:r>
    </w:p>
    <w:p>
      <w:pPr>
        <w:pStyle w:val="Heading1"/>
        <w:pBdr>
          <w:bottom w:val="single" w:color="CCCCCC" w:sz="4" w:space="4"/>
        </w:pBdr>
        <w:spacing w:after="120" w:before="30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or center with a prospective corporate partner relationship, regardless of its assignment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it mirrors. In the first year, the team will gather feedback from schools, units, and research leadership to calibrate assignments, identify gaps, and refine scope.</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2026-09-09T13:23:25.384Z</dcterms:created>
  <dcterms:modified xsi:type="dcterms:W3CDTF">2026-09-09T13:23:25.407Z</dcterms:modified>
</cp:coreProperties>
</file>

<file path=docProps/custom.xml><?xml version="1.0" encoding="utf-8"?>
<Properties xmlns="http://schemas.openxmlformats.org/officeDocument/2006/custom-properties" xmlns:vt="http://schemas.openxmlformats.org/officeDocument/2006/docPropsVTypes"/>
</file>