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32D4B"/>
          <w:sz w:val="40"/>
          <w:szCs w:val="40"/>
        </w:rPr>
        <w:t xml:space="preserve">CORPORATE RELATIONS</w:t>
      </w:r>
    </w:p>
    <w:p>
      <w:pPr>
        <w:spacing w:after="40"/>
      </w:pPr>
      <w:r>
        <w:rPr>
          <w:rFonts w:ascii="Calibri" w:cs="Calibri" w:eastAsia="Calibri" w:hAnsi="Calibri"/>
          <w:b/>
          <w:bCs/>
          <w:color w:val="E57200"/>
          <w:sz w:val="28"/>
          <w:szCs w:val="28"/>
        </w:rPr>
        <w:t xml:space="preserve">School Placement Model</w:t>
      </w:r>
    </w:p>
    <w:p>
      <w:pPr>
        <w:pBdr>
          <w:bottom w:val="single" w:color="232D4B" w:sz="6" w:space="6"/>
        </w:pBdr>
        <w:spacing w:after="240"/>
      </w:pPr>
      <w:r>
        <w:rPr>
          <w:rFonts w:ascii="Calibri" w:cs="Calibri" w:eastAsia="Calibri" w:hAnsi="Calibri"/>
          <w:i/>
          <w:iCs/>
          <w:color w:val="444444"/>
          <w:sz w:val="20"/>
          <w:szCs w:val="20"/>
        </w:rPr>
        <w:t xml:space="preserve">University of Virginia  |  Division of External Relations  |  Effective September 2026</w:t>
      </w:r>
    </w:p>
    <w:p>
      <w:pPr>
        <w:pStyle w:val="Heading1"/>
        <w:pBdr>
          <w:bottom w:val="single" w:color="CCCCCC" w:sz="4" w:space="4"/>
        </w:pBdr>
        <w:spacing w:after="120" w:before="300"/>
      </w:pPr>
      <w:r>
        <w:rPr>
          <w:rFonts w:ascii="Calibri" w:cs="Calibri" w:eastAsia="Calibri" w:hAnsi="Calibri"/>
          <w:b/>
          <w:bCs/>
          <w:color w:val="232D4B"/>
          <w:sz w:val="26"/>
          <w:szCs w:val="26"/>
        </w:rPr>
        <w:t xml:space="preserve">Overview</w:t>
      </w:r>
    </w:p>
    <w:p>
      <w:pPr>
        <w:spacing w:after="140"/>
      </w:pPr>
      <w:r>
        <w:rPr>
          <w:rFonts w:ascii="Calibri" w:cs="Calibri" w:eastAsia="Calibri" w:hAnsi="Calibri"/>
          <w:color w:val="1A1A1A"/>
          <w:sz w:val="21"/>
          <w:szCs w:val="21"/>
        </w:rPr>
        <w:t xml:space="preserve">Corporate Relations will adopt a school placement model, complementing the school-based liaison model the Foundation Relations team piloted beginning April 2026. Under this model, each of UVA's 12 schools and Wise is assigned a Corporate Relations point of contact, giving deans, unit development leads, and corporate partners the same consistent front door on the corporate side that they now have on the foundation side.</w:t>
      </w:r>
    </w:p>
    <w:p>
      <w:pPr>
        <w:spacing w:after="140"/>
      </w:pPr>
      <w:r>
        <w:rPr>
          <w:rFonts w:ascii="Calibri" w:cs="Calibri" w:eastAsia="Calibri" w:hAnsi="Calibri"/>
          <w:color w:val="1A1A1A"/>
          <w:sz w:val="21"/>
          <w:szCs w:val="21"/>
        </w:rPr>
        <w:t xml:space="preserve">Centers, institutes, and pan-university priorities do not map cleanly onto a single school, so this model continues to place them using the research-theme lens established in the July 2026 CR Thematic Placement Model — UVA Research Hub activity, federal funding priority areas, and active funded research — rather than administrative home. In practice, that means each school placement carries the centers and institutes whose research most directly extends that school's identity, while initiatives with no clear school home are tracked as pan-university priorities and assigned a lead case by case.</w:t>
      </w:r>
    </w:p>
    <w:p>
      <w:pPr>
        <w:spacing w:after="140"/>
      </w:pPr>
      <w:r>
        <w:rPr>
          <w:rFonts w:ascii="Calibri" w:cs="Calibri" w:eastAsia="Calibri" w:hAnsi="Calibri"/>
          <w:color w:val="1A1A1A"/>
          <w:sz w:val="21"/>
          <w:szCs w:val="21"/>
        </w:rPr>
        <w:t xml:space="preserve">With two full-time corporate officers, this model maximizes coverage by pairing each officer with a set of schools and their thematically aligned centers and institutes, while preserving shared accountability for cross-cutting priorities. As under the thematic model, the Health System is excluded; Health-aligned corporate partnerships are managed separately.</w:t>
      </w:r>
    </w:p>
    <w:p>
      <w:pPr>
        <w:pStyle w:val="Heading1"/>
        <w:pBdr>
          <w:bottom w:val="single" w:color="CCCCCC" w:sz="4" w:space="4"/>
        </w:pBdr>
        <w:spacing w:after="120" w:before="300"/>
      </w:pPr>
      <w:r>
        <w:rPr>
          <w:rFonts w:ascii="Calibri" w:cs="Calibri" w:eastAsia="Calibri" w:hAnsi="Calibri"/>
          <w:b/>
          <w:bCs/>
          <w:color w:val="232D4B"/>
          <w:sz w:val="26"/>
          <w:szCs w:val="26"/>
        </w:rPr>
        <w:t xml:space="preserve">About the Assignments</w:t>
      </w:r>
    </w:p>
    <w:p>
      <w:pPr>
        <w:pStyle w:val="ListParagraph"/>
        <w:numPr>
          <w:ilvl w:val="0"/>
          <w:numId w:val="2"/>
        </w:numPr>
        <w:spacing w:after="90"/>
      </w:pPr>
      <w:r>
        <w:rPr>
          <w:rFonts w:ascii="Calibri" w:cs="Calibri" w:eastAsia="Calibri" w:hAnsi="Calibri"/>
          <w:b/>
          <w:bCs/>
          <w:color w:val="1A1A1A"/>
          <w:sz w:val="21"/>
          <w:szCs w:val="21"/>
        </w:rPr>
        <w:t xml:space="preserve">School placements, not themes, are the primary organizing unit. </w:t>
      </w:r>
      <w:r>
        <w:rPr>
          <w:rFonts w:ascii="Calibri" w:cs="Calibri" w:eastAsia="Calibri" w:hAnsi="Calibri"/>
          <w:color w:val="1A1A1A"/>
          <w:sz w:val="21"/>
          <w:szCs w:val="21"/>
        </w:rPr>
        <w:t xml:space="preserve">Each officer anchors to a set of schools — mirroring the FR liaison model — so units have a single consistent point of contact across both corporate and foundation fundraising.</w:t>
      </w:r>
    </w:p>
    <w:p>
      <w:pPr>
        <w:pStyle w:val="ListParagraph"/>
        <w:numPr>
          <w:ilvl w:val="0"/>
          <w:numId w:val="2"/>
        </w:numPr>
        <w:spacing w:after="90"/>
      </w:pPr>
      <w:r>
        <w:rPr>
          <w:rFonts w:ascii="Calibri" w:cs="Calibri" w:eastAsia="Calibri" w:hAnsi="Calibri"/>
          <w:b/>
          <w:bCs/>
          <w:color w:val="1A1A1A"/>
          <w:sz w:val="21"/>
          <w:szCs w:val="21"/>
        </w:rPr>
        <w:t xml:space="preserve">Centers, institutes, and pan-university initiatives are placed using the thematic lens, not administrative home. </w:t>
      </w:r>
      <w:r>
        <w:rPr>
          <w:rFonts w:ascii="Calibri" w:cs="Calibri" w:eastAsia="Calibri" w:hAnsi="Calibri"/>
          <w:color w:val="1A1A1A"/>
          <w:sz w:val="21"/>
          <w:szCs w:val="21"/>
        </w:rPr>
        <w:t xml:space="preserve">This is the same logic used in the July 2026 CR Thematic Placement Model, since a center's corporate relevance is driven by its research area, not its reporting line.</w:t>
      </w:r>
    </w:p>
    <w:p>
      <w:pPr>
        <w:pStyle w:val="ListParagraph"/>
        <w:numPr>
          <w:ilvl w:val="0"/>
          <w:numId w:val="2"/>
        </w:numPr>
        <w:spacing w:after="90"/>
      </w:pPr>
      <w:r>
        <w:rPr>
          <w:rFonts w:ascii="Calibri" w:cs="Calibri" w:eastAsia="Calibri" w:hAnsi="Calibri"/>
          <w:b/>
          <w:bCs/>
          <w:color w:val="1A1A1A"/>
          <w:sz w:val="21"/>
          <w:szCs w:val="21"/>
        </w:rPr>
        <w:t xml:space="preserve">Thematically aligned centers travel with the school they extend. </w:t>
      </w:r>
      <w:r>
        <w:rPr>
          <w:rFonts w:ascii="Calibri" w:cs="Calibri" w:eastAsia="Calibri" w:hAnsi="Calibri"/>
          <w:color w:val="1A1A1A"/>
          <w:sz w:val="21"/>
          <w:szCs w:val="21"/>
        </w:rPr>
        <w:t xml:space="preserve">For example, AI@UVA is paired with Engineering and Data Science, and the Manning Institute of Biotechnology is paired with the School of Medicine, so faculty and partners experience continuity between the school and its closely related institutes.</w:t>
      </w:r>
    </w:p>
    <w:p>
      <w:pPr>
        <w:pStyle w:val="ListParagraph"/>
        <w:numPr>
          <w:ilvl w:val="0"/>
          <w:numId w:val="2"/>
        </w:numPr>
        <w:spacing w:after="90"/>
      </w:pPr>
      <w:r>
        <w:rPr>
          <w:rFonts w:ascii="Calibri" w:cs="Calibri" w:eastAsia="Calibri" w:hAnsi="Calibri"/>
          <w:b/>
          <w:bCs/>
          <w:color w:val="1A1A1A"/>
          <w:sz w:val="21"/>
          <w:szCs w:val="21"/>
        </w:rPr>
        <w:t xml:space="preserve">Centers and initiatives with no natural school home are held as pan-university priorities, </w:t>
      </w:r>
      <w:r>
        <w:rPr>
          <w:rFonts w:ascii="Calibri" w:cs="Calibri" w:eastAsia="Calibri" w:hAnsi="Calibri"/>
          <w:color w:val="1A1A1A"/>
          <w:sz w:val="21"/>
          <w:szCs w:val="21"/>
        </w:rPr>
        <w:t xml:space="preserve">assessed case by case and assigned a lead based on the specific partner and theme in play (see “Pan-University Priorities” below).</w:t>
      </w:r>
    </w:p>
    <w:p>
      <w:pPr>
        <w:pStyle w:val="ListParagraph"/>
        <w:numPr>
          <w:ilvl w:val="0"/>
          <w:numId w:val="2"/>
        </w:numPr>
        <w:spacing w:after="90"/>
      </w:pPr>
      <w:r>
        <w:rPr>
          <w:rFonts w:ascii="Calibri" w:cs="Calibri" w:eastAsia="Calibri" w:hAnsi="Calibri"/>
          <w:b/>
          <w:bCs/>
          <w:color w:val="1A1A1A"/>
          <w:sz w:val="21"/>
          <w:szCs w:val="21"/>
        </w:rPr>
        <w:t xml:space="preserve">Both officers work collaboratively across placements as needed. </w:t>
      </w:r>
      <w:r>
        <w:rPr>
          <w:rFonts w:ascii="Calibri" w:cs="Calibri" w:eastAsia="Calibri" w:hAnsi="Calibri"/>
          <w:color w:val="1A1A1A"/>
          <w:sz w:val="21"/>
          <w:szCs w:val="21"/>
        </w:rPr>
        <w:t xml:space="preserve">No school or theme is siloed — high-value prospects with multi-school or multi-theme relevance are worked jointly with a designated lead.</w:t>
      </w:r>
    </w:p>
    <w:p>
      <w:pPr>
        <w:pStyle w:val="ListParagraph"/>
        <w:numPr>
          <w:ilvl w:val="0"/>
          <w:numId w:val="2"/>
        </w:numPr>
        <w:spacing w:after="90"/>
      </w:pPr>
      <w:r>
        <w:rPr>
          <w:rFonts w:ascii="Calibri" w:cs="Calibri" w:eastAsia="Calibri" w:hAnsi="Calibri"/>
          <w:color w:val="1A1A1A"/>
          <w:sz w:val="21"/>
          <w:szCs w:val="21"/>
        </w:rPr>
        <w:t xml:space="preserve">Team portfolios will align with school placements where possible; however, existing corporate relationships that predate this model may span placements and will continue to be managed collaboratively.</w:t>
      </w:r>
    </w:p>
    <w:p>
      <w:pPr>
        <w:pStyle w:val="ListParagraph"/>
        <w:numPr>
          <w:ilvl w:val="0"/>
          <w:numId w:val="2"/>
        </w:numPr>
        <w:spacing w:after="90"/>
      </w:pPr>
      <w:r>
        <w:rPr>
          <w:rFonts w:ascii="Calibri" w:cs="Calibri" w:eastAsia="Calibri" w:hAnsi="Calibri"/>
          <w:b/>
          <w:bCs/>
          <w:color w:val="1A1A1A"/>
          <w:sz w:val="21"/>
          <w:szCs w:val="21"/>
        </w:rPr>
        <w:t xml:space="preserve">The Health System is excluded from this model; </w:t>
      </w:r>
      <w:r>
        <w:rPr>
          <w:rFonts w:ascii="Calibri" w:cs="Calibri" w:eastAsia="Calibri" w:hAnsi="Calibri"/>
          <w:color w:val="1A1A1A"/>
          <w:sz w:val="21"/>
          <w:szCs w:val="21"/>
        </w:rPr>
        <w:t xml:space="preserve">Health-aligned corporate partnerships (Medical Center and Cancer Center clinical operations) are managed separately. Research-facing engagement tied to the Manning Institute, the Brain Institute, Nursing research, and the School of Medicine's research enterprise remains in scope.</w:t>
      </w:r>
    </w:p>
    <w:p>
      <w:pPr>
        <w:pStyle w:val="ListParagraph"/>
        <w:numPr>
          <w:ilvl w:val="0"/>
          <w:numId w:val="2"/>
        </w:numPr>
        <w:spacing w:after="90"/>
      </w:pPr>
      <w:r>
        <w:rPr>
          <w:rFonts w:ascii="Calibri" w:cs="Calibri" w:eastAsia="Calibri" w:hAnsi="Calibri"/>
          <w:color w:val="1A1A1A"/>
          <w:sz w:val="21"/>
          <w:szCs w:val="21"/>
        </w:rPr>
        <w:t xml:space="preserve">In the first year of this model, placements will be calibrated based on partner engagement data, proposal activity, and feedback from schools and research leadership — consistent with the calibration approach already underway for the FR liaison model and the CR thematic model.</w:t>
      </w:r>
    </w:p>
    <w:p>
      <w:pPr>
        <w:pStyle w:val="Heading1"/>
        <w:pBdr>
          <w:bottom w:val="single" w:color="CCCCCC" w:sz="4" w:space="4"/>
        </w:pBdr>
        <w:spacing w:after="120" w:before="300"/>
      </w:pPr>
      <w:r>
        <w:rPr>
          <w:rFonts w:ascii="Calibri" w:cs="Calibri" w:eastAsia="Calibri" w:hAnsi="Calibri"/>
          <w:b/>
          <w:bCs/>
          <w:color w:val="232D4B"/>
          <w:sz w:val="26"/>
          <w:szCs w:val="26"/>
        </w:rPr>
        <w:t xml:space="preserve">Assignment Expectations</w:t>
      </w:r>
    </w:p>
    <w:p>
      <w:pPr>
        <w:spacing w:after="140"/>
      </w:pPr>
      <w:r>
        <w:rPr>
          <w:rFonts w:ascii="Calibri" w:cs="Calibri" w:eastAsia="Calibri" w:hAnsi="Calibri"/>
          <w:b/>
          <w:bCs/>
          <w:color w:val="1A1A1A"/>
          <w:sz w:val="21"/>
          <w:szCs w:val="21"/>
        </w:rPr>
        <w:t xml:space="preserve">Officers will:</w:t>
      </w:r>
    </w:p>
    <w:p>
      <w:pPr>
        <w:pStyle w:val="ListParagraph"/>
        <w:numPr>
          <w:ilvl w:val="0"/>
          <w:numId w:val="2"/>
        </w:numPr>
        <w:spacing w:after="90"/>
      </w:pPr>
      <w:r>
        <w:rPr>
          <w:rFonts w:ascii="Calibri" w:cs="Calibri" w:eastAsia="Calibri" w:hAnsi="Calibri"/>
          <w:color w:val="1A1A1A"/>
          <w:sz w:val="21"/>
          <w:szCs w:val="21"/>
        </w:rPr>
        <w:t xml:space="preserve">Schedule initial intro/intake meetings with school deans' offices and unit development leads, and set up a recurring meeting to review funding needs, discuss prospects, and align on shared priorities.</w:t>
      </w:r>
    </w:p>
    <w:p>
      <w:pPr>
        <w:pStyle w:val="ListParagraph"/>
        <w:numPr>
          <w:ilvl w:val="0"/>
          <w:numId w:val="2"/>
        </w:numPr>
        <w:spacing w:after="90"/>
      </w:pPr>
      <w:r>
        <w:rPr>
          <w:rFonts w:ascii="Calibri" w:cs="Calibri" w:eastAsia="Calibri" w:hAnsi="Calibri"/>
          <w:color w:val="1A1A1A"/>
          <w:sz w:val="21"/>
          <w:szCs w:val="21"/>
        </w:rPr>
        <w:t xml:space="preserve">Maintain a working knowledge of faculty research activity, funded projects, and strategic priorities within the assigned school and its thematically aligned centers and institutes.</w:t>
      </w:r>
    </w:p>
    <w:p>
      <w:pPr>
        <w:pStyle w:val="ListParagraph"/>
        <w:numPr>
          <w:ilvl w:val="0"/>
          <w:numId w:val="2"/>
        </w:numPr>
        <w:spacing w:after="90"/>
      </w:pPr>
      <w:r>
        <w:rPr>
          <w:rFonts w:ascii="Calibri" w:cs="Calibri" w:eastAsia="Calibri" w:hAnsi="Calibri"/>
          <w:color w:val="1A1A1A"/>
          <w:sz w:val="21"/>
          <w:szCs w:val="21"/>
        </w:rPr>
        <w:t xml:space="preserve">Identify and qualify corporate prospects whose R&amp;D, philanthropic, or sponsored-research interests align with the school's research capacity.</w:t>
      </w:r>
    </w:p>
    <w:p>
      <w:pPr>
        <w:pStyle w:val="ListParagraph"/>
        <w:numPr>
          <w:ilvl w:val="0"/>
          <w:numId w:val="2"/>
        </w:numPr>
        <w:spacing w:after="90"/>
      </w:pPr>
      <w:r>
        <w:rPr>
          <w:rFonts w:ascii="Calibri" w:cs="Calibri" w:eastAsia="Calibri" w:hAnsi="Calibri"/>
          <w:color w:val="1A1A1A"/>
          <w:sz w:val="21"/>
          <w:szCs w:val="21"/>
        </w:rPr>
        <w:t xml:space="preserve">Coordinate with the Office of Sponsored Programs, UVA Licensing &amp; Ventures, and relevant VPR offices to avoid duplication and surface co-investment opportunities.</w:t>
      </w:r>
    </w:p>
    <w:p>
      <w:pPr>
        <w:pStyle w:val="ListParagraph"/>
        <w:numPr>
          <w:ilvl w:val="0"/>
          <w:numId w:val="2"/>
        </w:numPr>
        <w:spacing w:after="90"/>
      </w:pPr>
      <w:r>
        <w:rPr>
          <w:rFonts w:ascii="Calibri" w:cs="Calibri" w:eastAsia="Calibri" w:hAnsi="Calibri"/>
          <w:color w:val="1A1A1A"/>
          <w:sz w:val="21"/>
          <w:szCs w:val="21"/>
        </w:rPr>
        <w:t xml:space="preserve">Lead or co-lead introductory meetings between corporate partners and faculty, deans, or research leadership.</w:t>
      </w:r>
    </w:p>
    <w:p>
      <w:pPr>
        <w:pStyle w:val="ListParagraph"/>
        <w:numPr>
          <w:ilvl w:val="0"/>
          <w:numId w:val="2"/>
        </w:numPr>
        <w:spacing w:after="90"/>
      </w:pPr>
      <w:r>
        <w:rPr>
          <w:rFonts w:ascii="Calibri" w:cs="Calibri" w:eastAsia="Calibri" w:hAnsi="Calibri"/>
          <w:color w:val="1A1A1A"/>
          <w:sz w:val="21"/>
          <w:szCs w:val="21"/>
        </w:rPr>
        <w:t xml:space="preserve">Advise on corporate proposal strategy, negotiation posture, and relationship management for the assigned school and its aligned centers.</w:t>
      </w:r>
    </w:p>
    <w:p>
      <w:pPr>
        <w:pStyle w:val="ListParagraph"/>
        <w:numPr>
          <w:ilvl w:val="0"/>
          <w:numId w:val="2"/>
        </w:numPr>
        <w:spacing w:after="90"/>
      </w:pPr>
      <w:r>
        <w:rPr>
          <w:rFonts w:ascii="Calibri" w:cs="Calibri" w:eastAsia="Calibri" w:hAnsi="Calibri"/>
          <w:color w:val="1A1A1A"/>
          <w:sz w:val="21"/>
          <w:szCs w:val="21"/>
        </w:rPr>
        <w:t xml:space="preserve">Track federal funding announcements and agency priorities relevant to the school's theme lens to anticipate corporate co-investment conversations.</w:t>
      </w:r>
    </w:p>
    <w:p>
      <w:pPr>
        <w:pStyle w:val="ListParagraph"/>
        <w:numPr>
          <w:ilvl w:val="0"/>
          <w:numId w:val="2"/>
        </w:numPr>
        <w:spacing w:after="90"/>
      </w:pPr>
      <w:r>
        <w:rPr>
          <w:rFonts w:ascii="Calibri" w:cs="Calibri" w:eastAsia="Calibri" w:hAnsi="Calibri"/>
          <w:color w:val="1A1A1A"/>
          <w:sz w:val="21"/>
          <w:szCs w:val="21"/>
        </w:rPr>
        <w:t xml:space="preserve">Build and maintain a pipeline of school-aligned corporate prospects with clear next steps and solicitation timelines.</w:t>
      </w:r>
    </w:p>
    <w:p>
      <w:pPr>
        <w:pStyle w:val="ListParagraph"/>
        <w:numPr>
          <w:ilvl w:val="0"/>
          <w:numId w:val="2"/>
        </w:numPr>
        <w:spacing w:after="90"/>
      </w:pPr>
      <w:r>
        <w:rPr>
          <w:rFonts w:ascii="Calibri" w:cs="Calibri" w:eastAsia="Calibri" w:hAnsi="Calibri"/>
          <w:color w:val="1A1A1A"/>
          <w:sz w:val="21"/>
          <w:szCs w:val="21"/>
        </w:rPr>
        <w:t xml:space="preserve">Once the model is established, co-develop an annual corporate engagement plan for each school with its dean's office and research leadership.</w:t>
      </w:r>
    </w:p>
    <w:p>
      <w:pPr>
        <w:pStyle w:val="Heading1"/>
        <w:pBdr>
          <w:bottom w:val="single" w:color="CCCCCC" w:sz="4" w:space="4"/>
        </w:pBdr>
        <w:spacing w:after="120" w:before="300"/>
      </w:pPr>
      <w:r>
        <w:rPr>
          <w:rFonts w:ascii="Calibri" w:cs="Calibri" w:eastAsia="Calibri" w:hAnsi="Calibri"/>
          <w:b/>
          <w:bCs/>
          <w:color w:val="232D4B"/>
          <w:sz w:val="26"/>
          <w:szCs w:val="26"/>
        </w:rPr>
        <w:t xml:space="preserve">Corporate Relations School Placements (Effective September 2026)</w:t>
      </w:r>
    </w:p>
    <w:p>
      <w:pPr>
        <w:spacing w:after="180"/>
      </w:pPr>
      <w:r>
        <w:rPr>
          <w:rFonts w:ascii="Calibri" w:cs="Calibri" w:eastAsia="Calibri" w:hAnsi="Calibri"/>
          <w:b/>
          <w:bCs/>
          <w:color w:val="5B6472"/>
          <w:sz w:val="18"/>
          <w:szCs w:val="18"/>
        </w:rPr>
        <w:t xml:space="preserve">Theme key:   </w:t>
      </w:r>
      <w:r>
        <w:rPr>
          <w:rFonts w:ascii="Calibri" w:cs="Calibri" w:eastAsia="Calibri" w:hAnsi="Calibri"/>
          <w:b/>
          <w:bCs/>
          <w:color w:val="1F5BA6"/>
          <w:sz w:val="18"/>
          <w:szCs w:val="18"/>
        </w:rPr>
        <w:t xml:space="preserve">●  </w:t>
      </w:r>
      <w:r>
        <w:rPr>
          <w:rFonts w:ascii="Calibri" w:cs="Calibri" w:eastAsia="Calibri" w:hAnsi="Calibri"/>
          <w:color w:val="444444"/>
          <w:sz w:val="18"/>
          <w:szCs w:val="18"/>
        </w:rPr>
        <w:t xml:space="preserve">Technology, Computing &amp; AI     </w:t>
      </w:r>
      <w:r>
        <w:rPr>
          <w:rFonts w:ascii="Calibri" w:cs="Calibri" w:eastAsia="Calibri" w:hAnsi="Calibri"/>
          <w:b/>
          <w:bCs/>
          <w:color w:val="1E7A46"/>
          <w:sz w:val="18"/>
          <w:szCs w:val="18"/>
        </w:rPr>
        <w:t xml:space="preserve">●  </w:t>
      </w:r>
      <w:r>
        <w:rPr>
          <w:rFonts w:ascii="Calibri" w:cs="Calibri" w:eastAsia="Calibri" w:hAnsi="Calibri"/>
          <w:color w:val="444444"/>
          <w:sz w:val="18"/>
          <w:szCs w:val="18"/>
        </w:rPr>
        <w:t xml:space="preserve">Life Sciences, Biotech &amp; Health Innovation     </w:t>
      </w:r>
      <w:r>
        <w:rPr>
          <w:rFonts w:ascii="Calibri" w:cs="Calibri" w:eastAsia="Calibri" w:hAnsi="Calibri"/>
          <w:b/>
          <w:bCs/>
          <w:color w:val="12767D"/>
          <w:sz w:val="18"/>
          <w:szCs w:val="18"/>
        </w:rPr>
        <w:t xml:space="preserve">●  </w:t>
      </w:r>
      <w:r>
        <w:rPr>
          <w:rFonts w:ascii="Calibri" w:cs="Calibri" w:eastAsia="Calibri" w:hAnsi="Calibri"/>
          <w:color w:val="444444"/>
          <w:sz w:val="18"/>
          <w:szCs w:val="18"/>
        </w:rPr>
        <w:t xml:space="preserve">Energy, Environment &amp; Sustainability     </w:t>
      </w:r>
      <w:r>
        <w:rPr>
          <w:rFonts w:ascii="Calibri" w:cs="Calibri" w:eastAsia="Calibri" w:hAnsi="Calibri"/>
          <w:b/>
          <w:bCs/>
          <w:color w:val="6C3483"/>
          <w:sz w:val="18"/>
          <w:szCs w:val="18"/>
        </w:rPr>
        <w:t xml:space="preserve">●  </w:t>
      </w:r>
      <w:r>
        <w:rPr>
          <w:rFonts w:ascii="Calibri" w:cs="Calibri" w:eastAsia="Calibri" w:hAnsi="Calibri"/>
          <w:color w:val="444444"/>
          <w:sz w:val="18"/>
          <w:szCs w:val="18"/>
        </w:rPr>
        <w:t xml:space="preserve">Democracy, Policy &amp; Social Innovation     </w:t>
      </w:r>
      <w:r>
        <w:rPr>
          <w:rFonts w:ascii="Calibri" w:cs="Calibri" w:eastAsia="Calibri" w:hAnsi="Calibri"/>
          <w:b/>
          <w:bCs/>
          <w:color w:val="A05A00"/>
          <w:sz w:val="18"/>
          <w:szCs w:val="18"/>
        </w:rPr>
        <w:t xml:space="preserve">●  </w:t>
      </w:r>
      <w:r>
        <w:rPr>
          <w:rFonts w:ascii="Calibri" w:cs="Calibri" w:eastAsia="Calibri" w:hAnsi="Calibri"/>
          <w:color w:val="444444"/>
          <w:sz w:val="18"/>
          <w:szCs w:val="18"/>
        </w:rPr>
        <w:t xml:space="preserve">Business, Commerce &amp; Emerging Markets     </w:t>
      </w:r>
      <w:r>
        <w:rPr>
          <w:rFonts w:ascii="Calibri" w:cs="Calibri" w:eastAsia="Calibri" w:hAnsi="Calibri"/>
          <w:b/>
          <w:bCs/>
          <w:color w:val="5B6472"/>
          <w:sz w:val="18"/>
          <w:szCs w:val="18"/>
        </w:rPr>
        <w:t xml:space="preserve">●  </w:t>
      </w:r>
      <w:r>
        <w:rPr>
          <w:rFonts w:ascii="Calibri" w:cs="Calibri" w:eastAsia="Calibri" w:hAnsi="Calibri"/>
          <w:color w:val="444444"/>
          <w:sz w:val="18"/>
          <w:szCs w:val="18"/>
        </w:rPr>
        <w:t xml:space="preserve">Cross-cutting / multiple themes</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900"/>
        <w:gridCol w:w="4740"/>
        <w:gridCol w:w="2600"/>
      </w:tblGrid>
      <w:tr>
        <w:trPr>
          <w:tblHeader/>
        </w:trPr>
        <w:tc>
          <w:tcPr>
            <w:tcW w:type="dxa" w:w="10240"/>
            <w:gridSpan w:val="3"/>
            <w:tcBorders>
              <w:top w:val="single" w:color="D9DCE3" w:sz="2"/>
              <w:left w:val="single" w:color="D9DCE3" w:sz="2"/>
              <w:bottom w:val="single" w:color="D9DCE3" w:sz="2"/>
              <w:right w:val="single" w:color="D9DCE3" w:sz="2"/>
            </w:tcBorders>
            <w:shd w:fill="232D4B" w:color="auto" w:val="clear"/>
            <w:tcMar>
              <w:top w:type="dxa" w:w="140"/>
              <w:left w:type="dxa" w:w="160"/>
              <w:bottom w:type="dxa" w:w="140"/>
              <w:right w:type="dxa" w:w="160"/>
            </w:tcMar>
          </w:tcPr>
          <w:p>
            <w:pPr>
              <w:spacing w:after="20"/>
            </w:pPr>
            <w:r>
              <w:rPr>
                <w:rFonts w:ascii="Calibri" w:cs="Calibri" w:eastAsia="Calibri" w:hAnsi="Calibri"/>
                <w:b/>
                <w:bCs/>
                <w:color w:val="E57200"/>
                <w:spacing w:val="20"/>
                <w:sz w:val="16"/>
                <w:szCs w:val="16"/>
              </w:rPr>
              <w:t xml:space="preserve">OFFICER 1</w:t>
            </w:r>
          </w:p>
          <w:p>
            <w:pPr>
              <w:spacing w:after="40"/>
            </w:pPr>
            <w:r>
              <w:rPr>
                <w:rFonts w:ascii="Calibri" w:cs="Calibri" w:eastAsia="Calibri" w:hAnsi="Calibri"/>
                <w:b/>
                <w:bCs/>
                <w:color w:val="FFFFFF"/>
                <w:sz w:val="27"/>
                <w:szCs w:val="27"/>
              </w:rPr>
              <w:t xml:space="preserve">Ryan Weigand</w:t>
            </w:r>
          </w:p>
          <w:p>
            <w:r>
              <w:rPr>
                <w:rFonts w:ascii="Calibri" w:cs="Calibri" w:eastAsia="Calibri" w:hAnsi="Calibri"/>
                <w:i/>
                <w:iCs/>
                <w:color w:val="C9D3E6"/>
                <w:sz w:val="19"/>
                <w:szCs w:val="19"/>
              </w:rPr>
              <w:t xml:space="preserve">Primary: Technology, Computing &amp; AI  |  Life Sciences, Biotech &amp; Health Innovation</w:t>
            </w:r>
          </w:p>
        </w:tc>
      </w:tr>
      <w:tr>
        <w:trPr>
          <w:tblHeader/>
        </w:trPr>
        <w:tc>
          <w:tcPr>
            <w:tcW w:type="dxa" w:w="2900"/>
            <w:tcBorders>
              <w:top w:val="single" w:color="D9DCE3" w:sz="2"/>
              <w:left w:val="single" w:color="D9DCE3" w:sz="2"/>
              <w:bottom w:val="single" w:color="D9DCE3" w:sz="2"/>
              <w:right w:val="single" w:color="D9DCE3" w:sz="2"/>
            </w:tcBorders>
            <w:shd w:fill="E57200"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School / Unit</w:t>
            </w:r>
          </w:p>
        </w:tc>
        <w:tc>
          <w:tcPr>
            <w:tcW w:type="dxa" w:w="4740"/>
            <w:tcBorders>
              <w:top w:val="single" w:color="D9DCE3" w:sz="2"/>
              <w:left w:val="single" w:color="D9DCE3" w:sz="2"/>
              <w:bottom w:val="single" w:color="D9DCE3" w:sz="2"/>
              <w:right w:val="single" w:color="D9DCE3" w:sz="2"/>
            </w:tcBorders>
            <w:shd w:fill="E57200"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Aligned Centers, Institutes &amp; Coverage Notes</w:t>
            </w:r>
          </w:p>
        </w:tc>
        <w:tc>
          <w:tcPr>
            <w:tcW w:type="dxa" w:w="2600"/>
            <w:tcBorders>
              <w:top w:val="single" w:color="D9DCE3" w:sz="2"/>
              <w:left w:val="single" w:color="D9DCE3" w:sz="2"/>
              <w:bottom w:val="single" w:color="D9DCE3" w:sz="2"/>
              <w:right w:val="single" w:color="D9DCE3" w:sz="2"/>
            </w:tcBorders>
            <w:shd w:fill="E57200"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Theme Lens</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Engineering</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AI@UVA (Provost) — joint with Data Science; Biocomplexity Institute (computing/data systems) — joint with Officer 2 on environmental applications. Energy-systems research within Engineering is worked jointly with Officer 2 as a secondary Energy, Environment &amp; Sustainability interest.</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1F5BA6"/>
                <w:sz w:val="20"/>
                <w:szCs w:val="20"/>
              </w:rPr>
              <w:t xml:space="preserve">●  </w:t>
            </w:r>
            <w:r>
              <w:rPr>
                <w:rFonts w:ascii="Calibri" w:cs="Calibri" w:eastAsia="Calibri" w:hAnsi="Calibri"/>
                <w:b/>
                <w:bCs/>
                <w:color w:val="1F5BA6"/>
                <w:sz w:val="20"/>
                <w:szCs w:val="20"/>
              </w:rPr>
              <w:t xml:space="preserve">Technology, Computing &amp; AI</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Data Science</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AI@UVA (Provost) — joint with Engineering</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1F5BA6"/>
                <w:sz w:val="20"/>
                <w:szCs w:val="20"/>
              </w:rPr>
              <w:t xml:space="preserve">●  </w:t>
            </w:r>
            <w:r>
              <w:rPr>
                <w:rFonts w:ascii="Calibri" w:cs="Calibri" w:eastAsia="Calibri" w:hAnsi="Calibri"/>
                <w:b/>
                <w:bCs/>
                <w:color w:val="1F5BA6"/>
                <w:sz w:val="20"/>
                <w:szCs w:val="20"/>
              </w:rPr>
              <w:t xml:space="preserve">Technology, Computing &amp; AI</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Medicine (research enterprise) — working alongside Ahsan</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Manning Institute of Biotechnology; Brain Institute</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1E7A46"/>
                <w:sz w:val="20"/>
                <w:szCs w:val="20"/>
              </w:rPr>
              <w:t xml:space="preserve">●  </w:t>
            </w:r>
            <w:r>
              <w:rPr>
                <w:rFonts w:ascii="Calibri" w:cs="Calibri" w:eastAsia="Calibri" w:hAnsi="Calibri"/>
                <w:b/>
                <w:bCs/>
                <w:color w:val="1E7A46"/>
                <w:sz w:val="20"/>
                <w:szCs w:val="20"/>
              </w:rPr>
              <w:t xml:space="preserve">Life Sciences, Biotech &amp; Health Innovation</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Nursing (research enterprise) — working alongside Ahsan</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Health equity, community/rural health, aging, and behavioral health research programs housed within Nursing</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1E7A46"/>
                <w:sz w:val="20"/>
                <w:szCs w:val="20"/>
              </w:rPr>
              <w:t xml:space="preserve">●  </w:t>
            </w:r>
            <w:r>
              <w:rPr>
                <w:rFonts w:ascii="Calibri" w:cs="Calibri" w:eastAsia="Calibri" w:hAnsi="Calibri"/>
                <w:b/>
                <w:bCs/>
                <w:color w:val="1E7A46"/>
                <w:sz w:val="20"/>
                <w:szCs w:val="20"/>
              </w:rPr>
              <w:t xml:space="preserve">Life Sciences, Biotech &amp; Health Innovation</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College &amp; Graduate School of Arts &amp; Sciences (incl. Honors College)</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Pre-existing relationships managed on an ongoing basis with industry partners; spans all five research themes across A&amp;S departments. Honors College engagement is folded into this placement rather than tracked separately.</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5B6472"/>
                <w:sz w:val="20"/>
                <w:szCs w:val="20"/>
              </w:rPr>
              <w:t xml:space="preserve">●  </w:t>
            </w:r>
            <w:r>
              <w:rPr>
                <w:rFonts w:ascii="Calibri" w:cs="Calibri" w:eastAsia="Calibri" w:hAnsi="Calibri"/>
                <w:b/>
                <w:bCs/>
                <w:color w:val="5B6472"/>
                <w:sz w:val="20"/>
                <w:szCs w:val="20"/>
              </w:rPr>
              <w:t xml:space="preserve">Cross-cutting / multiple themes</w:t>
            </w:r>
          </w:p>
          <w:p>
            <w:pPr>
              <w:spacing w:before="30"/>
            </w:pPr>
            <w:r>
              <w:rPr>
                <w:rFonts w:ascii="Calibri" w:cs="Calibri" w:eastAsia="Calibri" w:hAnsi="Calibri"/>
                <w:i/>
                <w:iCs/>
                <w:color w:val="5B6472"/>
                <w:sz w:val="17"/>
                <w:szCs w:val="17"/>
              </w:rPr>
              <w:t xml:space="preserve">all five themes</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Center for Comparative Medicine</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Pre-existing relationships managed on an ongoing basis with industry partners — laboratory animal medicine and research infrastructure supporting biomedical research.</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1E7A46"/>
                <w:sz w:val="20"/>
                <w:szCs w:val="20"/>
              </w:rPr>
              <w:t xml:space="preserve">●  </w:t>
            </w:r>
            <w:r>
              <w:rPr>
                <w:rFonts w:ascii="Calibri" w:cs="Calibri" w:eastAsia="Calibri" w:hAnsi="Calibri"/>
                <w:b/>
                <w:bCs/>
                <w:color w:val="1E7A46"/>
                <w:sz w:val="20"/>
                <w:szCs w:val="20"/>
              </w:rPr>
              <w:t xml:space="preserve">Life Sciences, Biotech &amp; Health Innovation</w:t>
            </w:r>
          </w:p>
          <w:p>
            <w:pPr>
              <w:spacing w:before="30"/>
            </w:pPr>
            <w:r>
              <w:rPr>
                <w:rFonts w:ascii="Calibri" w:cs="Calibri" w:eastAsia="Calibri" w:hAnsi="Calibri"/>
                <w:i/>
                <w:iCs/>
                <w:color w:val="5B6472"/>
                <w:sz w:val="17"/>
                <w:szCs w:val="17"/>
              </w:rPr>
              <w:t xml:space="preserve">research infrastructure</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Biocomplexity Institute</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Pre-existing relationships managed on an ongoing basis with industry partners; joint with Officer 2 on environmental-systems applications.</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5B6472"/>
                <w:sz w:val="20"/>
                <w:szCs w:val="20"/>
              </w:rPr>
              <w:t xml:space="preserve">●  </w:t>
            </w:r>
            <w:r>
              <w:rPr>
                <w:rFonts w:ascii="Calibri" w:cs="Calibri" w:eastAsia="Calibri" w:hAnsi="Calibri"/>
                <w:b/>
                <w:bCs/>
                <w:color w:val="5B6472"/>
                <w:sz w:val="20"/>
                <w:szCs w:val="20"/>
              </w:rPr>
              <w:t xml:space="preserve">Cross-cutting / multiple themes</w:t>
            </w:r>
          </w:p>
          <w:p>
            <w:pPr>
              <w:spacing w:before="30"/>
            </w:pPr>
            <w:r>
              <w:rPr>
                <w:rFonts w:ascii="Calibri" w:cs="Calibri" w:eastAsia="Calibri" w:hAnsi="Calibri"/>
                <w:i/>
                <w:iCs/>
                <w:color w:val="5B6472"/>
                <w:sz w:val="17"/>
                <w:szCs w:val="17"/>
              </w:rPr>
              <w:t xml:space="preserve">technology + environment</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UVA Library</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Not assigned to a dedicated placement. Digital scholarship, research data services, and archival programs may be relevant to technology, publishing, or research-infrastructure partners; opportunities are assessed and routed by the team.</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1F5BA6"/>
                <w:sz w:val="20"/>
                <w:szCs w:val="20"/>
              </w:rPr>
              <w:t xml:space="preserve">●  </w:t>
            </w:r>
            <w:r>
              <w:rPr>
                <w:rFonts w:ascii="Calibri" w:cs="Calibri" w:eastAsia="Calibri" w:hAnsi="Calibri"/>
                <w:b/>
                <w:bCs/>
                <w:color w:val="1F5BA6"/>
                <w:sz w:val="20"/>
                <w:szCs w:val="20"/>
              </w:rPr>
              <w:t xml:space="preserve">Technology, Computing &amp; AI</w:t>
            </w:r>
          </w:p>
          <w:p>
            <w:pPr>
              <w:spacing w:before="30"/>
            </w:pPr>
            <w:r>
              <w:rPr>
                <w:rFonts w:ascii="Calibri" w:cs="Calibri" w:eastAsia="Calibri" w:hAnsi="Calibri"/>
                <w:i/>
                <w:iCs/>
                <w:color w:val="5B6472"/>
                <w:sz w:val="17"/>
                <w:szCs w:val="17"/>
              </w:rPr>
              <w:t xml:space="preserve">secondary — research infrastructure &amp; digital scholarship</w:t>
            </w:r>
          </w:p>
        </w:tc>
      </w:tr>
    </w:tbl>
    <w:p>
      <w:pPr>
        <w:spacing w:after="0" w:before="220"/>
      </w:pP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900"/>
        <w:gridCol w:w="4740"/>
        <w:gridCol w:w="2600"/>
      </w:tblGrid>
      <w:tr>
        <w:trPr>
          <w:tblHeader/>
        </w:trPr>
        <w:tc>
          <w:tcPr>
            <w:tcW w:type="dxa" w:w="10240"/>
            <w:gridSpan w:val="3"/>
            <w:tcBorders>
              <w:top w:val="single" w:color="D9DCE3" w:sz="2"/>
              <w:left w:val="single" w:color="D9DCE3" w:sz="2"/>
              <w:bottom w:val="single" w:color="D9DCE3" w:sz="2"/>
              <w:right w:val="single" w:color="D9DCE3" w:sz="2"/>
            </w:tcBorders>
            <w:shd w:fill="232D4B" w:color="auto" w:val="clear"/>
            <w:tcMar>
              <w:top w:type="dxa" w:w="140"/>
              <w:left w:type="dxa" w:w="160"/>
              <w:bottom w:type="dxa" w:w="140"/>
              <w:right w:type="dxa" w:w="160"/>
            </w:tcMar>
          </w:tcPr>
          <w:p>
            <w:pPr>
              <w:spacing w:after="20"/>
            </w:pPr>
            <w:r>
              <w:rPr>
                <w:rFonts w:ascii="Calibri" w:cs="Calibri" w:eastAsia="Calibri" w:hAnsi="Calibri"/>
                <w:b/>
                <w:bCs/>
                <w:color w:val="E57200"/>
                <w:spacing w:val="20"/>
                <w:sz w:val="16"/>
                <w:szCs w:val="16"/>
              </w:rPr>
              <w:t xml:space="preserve">OFFICER 2</w:t>
            </w:r>
          </w:p>
          <w:p>
            <w:pPr>
              <w:spacing w:after="40"/>
            </w:pPr>
            <w:r>
              <w:rPr>
                <w:rFonts w:ascii="Calibri" w:cs="Calibri" w:eastAsia="Calibri" w:hAnsi="Calibri"/>
                <w:b/>
                <w:bCs/>
                <w:color w:val="FFFFFF"/>
                <w:sz w:val="27"/>
                <w:szCs w:val="27"/>
              </w:rPr>
              <w:t xml:space="preserve">Carrie Combs</w:t>
            </w:r>
          </w:p>
          <w:p>
            <w:r>
              <w:rPr>
                <w:rFonts w:ascii="Calibri" w:cs="Calibri" w:eastAsia="Calibri" w:hAnsi="Calibri"/>
                <w:i/>
                <w:iCs/>
                <w:color w:val="C9D3E6"/>
                <w:sz w:val="19"/>
                <w:szCs w:val="19"/>
              </w:rPr>
              <w:t xml:space="preserve">Primary: Energy, Environment &amp; Sustainability  |  Democracy, Policy &amp; Social Innovation  |  Business, Commerce &amp; Emerging Markets</w:t>
            </w:r>
          </w:p>
        </w:tc>
      </w:tr>
      <w:tr>
        <w:trPr>
          <w:tblHeader/>
        </w:trPr>
        <w:tc>
          <w:tcPr>
            <w:tcW w:type="dxa" w:w="2900"/>
            <w:tcBorders>
              <w:top w:val="single" w:color="D9DCE3" w:sz="2"/>
              <w:left w:val="single" w:color="D9DCE3" w:sz="2"/>
              <w:bottom w:val="single" w:color="D9DCE3" w:sz="2"/>
              <w:right w:val="single" w:color="D9DCE3" w:sz="2"/>
            </w:tcBorders>
            <w:shd w:fill="E57200"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School / Unit</w:t>
            </w:r>
          </w:p>
        </w:tc>
        <w:tc>
          <w:tcPr>
            <w:tcW w:type="dxa" w:w="4740"/>
            <w:tcBorders>
              <w:top w:val="single" w:color="D9DCE3" w:sz="2"/>
              <w:left w:val="single" w:color="D9DCE3" w:sz="2"/>
              <w:bottom w:val="single" w:color="D9DCE3" w:sz="2"/>
              <w:right w:val="single" w:color="D9DCE3" w:sz="2"/>
            </w:tcBorders>
            <w:shd w:fill="E57200"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Aligned Centers, Institutes &amp; Coverage Notes</w:t>
            </w:r>
          </w:p>
        </w:tc>
        <w:tc>
          <w:tcPr>
            <w:tcW w:type="dxa" w:w="2600"/>
            <w:tcBorders>
              <w:top w:val="single" w:color="D9DCE3" w:sz="2"/>
              <w:left w:val="single" w:color="D9DCE3" w:sz="2"/>
              <w:bottom w:val="single" w:color="D9DCE3" w:sz="2"/>
              <w:right w:val="single" w:color="D9DCE3" w:sz="2"/>
            </w:tcBorders>
            <w:shd w:fill="E57200"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Theme Lens</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Architecture</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Environmental Institute (built environment, sustainability, real estate, infrastructure) — joint with Officer 1 on Engineering energy systems.</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12767D"/>
                <w:sz w:val="20"/>
                <w:szCs w:val="20"/>
              </w:rPr>
              <w:t xml:space="preserve">●  </w:t>
            </w:r>
            <w:r>
              <w:rPr>
                <w:rFonts w:ascii="Calibri" w:cs="Calibri" w:eastAsia="Calibri" w:hAnsi="Calibri"/>
                <w:b/>
                <w:bCs/>
                <w:color w:val="12767D"/>
                <w:sz w:val="20"/>
                <w:szCs w:val="20"/>
              </w:rPr>
              <w:t xml:space="preserve">Energy, Environment &amp; Sustainability</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Batten School</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Karsh Institute for Democracy (incl. Weldon Cooper Center); Miller Center; Center for Politics</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6C3483"/>
                <w:sz w:val="20"/>
                <w:szCs w:val="20"/>
              </w:rPr>
              <w:t xml:space="preserve">●  </w:t>
            </w:r>
            <w:r>
              <w:rPr>
                <w:rFonts w:ascii="Calibri" w:cs="Calibri" w:eastAsia="Calibri" w:hAnsi="Calibri"/>
                <w:b/>
                <w:bCs/>
                <w:color w:val="6C3483"/>
                <w:sz w:val="20"/>
                <w:szCs w:val="20"/>
              </w:rPr>
              <w:t xml:space="preserve">Democracy, Policy &amp; Social Innovation</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Law</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Education Rights Institute — joint with EHD</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6C3483"/>
                <w:sz w:val="20"/>
                <w:szCs w:val="20"/>
              </w:rPr>
              <w:t xml:space="preserve">●  </w:t>
            </w:r>
            <w:r>
              <w:rPr>
                <w:rFonts w:ascii="Calibri" w:cs="Calibri" w:eastAsia="Calibri" w:hAnsi="Calibri"/>
                <w:b/>
                <w:bCs/>
                <w:color w:val="6C3483"/>
                <w:sz w:val="20"/>
                <w:szCs w:val="20"/>
              </w:rPr>
              <w:t xml:space="preserve">Democracy, Policy &amp; Social Innovation</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Education &amp; Human Development (EHD)</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Education Rights Institute — joint with Law</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6C3483"/>
                <w:sz w:val="20"/>
                <w:szCs w:val="20"/>
              </w:rPr>
              <w:t xml:space="preserve">●  </w:t>
            </w:r>
            <w:r>
              <w:rPr>
                <w:rFonts w:ascii="Calibri" w:cs="Calibri" w:eastAsia="Calibri" w:hAnsi="Calibri"/>
                <w:b/>
                <w:bCs/>
                <w:color w:val="6C3483"/>
                <w:sz w:val="20"/>
                <w:szCs w:val="20"/>
              </w:rPr>
              <w:t xml:space="preserve">Democracy, Policy &amp; Social Innovation</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Darden School of Business</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Executive education partnerships, corporate philanthropy, applied research</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A05A00"/>
                <w:sz w:val="20"/>
                <w:szCs w:val="20"/>
              </w:rPr>
              <w:t xml:space="preserve">●  </w:t>
            </w:r>
            <w:r>
              <w:rPr>
                <w:rFonts w:ascii="Calibri" w:cs="Calibri" w:eastAsia="Calibri" w:hAnsi="Calibri"/>
                <w:b/>
                <w:bCs/>
                <w:color w:val="A05A00"/>
                <w:sz w:val="20"/>
                <w:szCs w:val="20"/>
              </w:rPr>
              <w:t xml:space="preserve">Business, Commerce &amp; Emerging Markets</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McIntire School of Commerce</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Financial services, consulting, emerging-markets corporate engagement</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A05A00"/>
                <w:sz w:val="20"/>
                <w:szCs w:val="20"/>
              </w:rPr>
              <w:t xml:space="preserve">●  </w:t>
            </w:r>
            <w:r>
              <w:rPr>
                <w:rFonts w:ascii="Calibri" w:cs="Calibri" w:eastAsia="Calibri" w:hAnsi="Calibri"/>
                <w:b/>
                <w:bCs/>
                <w:color w:val="A05A00"/>
                <w:sz w:val="20"/>
                <w:szCs w:val="20"/>
              </w:rPr>
              <w:t xml:space="preserve">Business, Commerce &amp; Emerging Markets</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School of Continuing &amp; Professional Studies</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Workforce pipeline and professional-development partnerships; regional coordination point for Wise</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A05A00"/>
                <w:sz w:val="20"/>
                <w:szCs w:val="20"/>
              </w:rPr>
              <w:t xml:space="preserve">●  </w:t>
            </w:r>
            <w:r>
              <w:rPr>
                <w:rFonts w:ascii="Calibri" w:cs="Calibri" w:eastAsia="Calibri" w:hAnsi="Calibri"/>
                <w:b/>
                <w:bCs/>
                <w:color w:val="A05A00"/>
                <w:sz w:val="20"/>
                <w:szCs w:val="20"/>
              </w:rPr>
              <w:t xml:space="preserve">Business, Commerce &amp; Emerging Markets</w:t>
            </w:r>
          </w:p>
        </w:tc>
      </w:tr>
      <w:tr>
        <w:tc>
          <w:tcPr>
            <w:tcW w:type="dxa" w:w="29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UVA Wise</w:t>
            </w:r>
          </w:p>
        </w:tc>
        <w:tc>
          <w:tcPr>
            <w:tcW w:type="dxa" w:w="47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Not explicitly covered by a dedicated placement; corporate engagement tied to Wise's academic programs or regional economic development is coordinated through SCPS.</w:t>
            </w:r>
          </w:p>
        </w:tc>
        <w:tc>
          <w:tcPr>
            <w:tcW w:type="dxa" w:w="26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r>
              <w:rPr>
                <w:rFonts w:ascii="Calibri" w:cs="Calibri" w:eastAsia="Calibri" w:hAnsi="Calibri"/>
                <w:b/>
                <w:bCs/>
                <w:color w:val="A05A00"/>
                <w:sz w:val="20"/>
                <w:szCs w:val="20"/>
              </w:rPr>
              <w:t xml:space="preserve">●  </w:t>
            </w:r>
            <w:r>
              <w:rPr>
                <w:rFonts w:ascii="Calibri" w:cs="Calibri" w:eastAsia="Calibri" w:hAnsi="Calibri"/>
                <w:b/>
                <w:bCs/>
                <w:color w:val="A05A00"/>
                <w:sz w:val="20"/>
                <w:szCs w:val="20"/>
              </w:rPr>
              <w:t xml:space="preserve">Business, Commerce &amp; Emerging Markets</w:t>
            </w:r>
          </w:p>
          <w:p>
            <w:pPr>
              <w:spacing w:before="30"/>
            </w:pPr>
            <w:r>
              <w:rPr>
                <w:rFonts w:ascii="Calibri" w:cs="Calibri" w:eastAsia="Calibri" w:hAnsi="Calibri"/>
                <w:i/>
                <w:iCs/>
                <w:color w:val="5B6472"/>
                <w:sz w:val="17"/>
                <w:szCs w:val="17"/>
              </w:rPr>
              <w:t xml:space="preserve">regional</w:t>
            </w:r>
          </w:p>
        </w:tc>
      </w:tr>
      <w:tr>
        <w:tc>
          <w:tcPr>
            <w:tcW w:type="dxa" w:w="29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Contemplative Sciences Center</w:t>
            </w:r>
          </w:p>
        </w:tc>
        <w:tc>
          <w:tcPr>
            <w:tcW w:type="dxa" w:w="47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Not assigned to a dedicated school placement. Partners with wellness, behavioral health, or mindfulness-adjacent interests are discussed with the team case by case and routed to the officer with the closest thematic fit.</w:t>
            </w:r>
          </w:p>
        </w:tc>
        <w:tc>
          <w:tcPr>
            <w:tcW w:type="dxa" w:w="26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r>
              <w:rPr>
                <w:rFonts w:ascii="Calibri" w:cs="Calibri" w:eastAsia="Calibri" w:hAnsi="Calibri"/>
                <w:b/>
                <w:bCs/>
                <w:color w:val="1E7A46"/>
                <w:sz w:val="20"/>
                <w:szCs w:val="20"/>
              </w:rPr>
              <w:t xml:space="preserve">●  </w:t>
            </w:r>
            <w:r>
              <w:rPr>
                <w:rFonts w:ascii="Calibri" w:cs="Calibri" w:eastAsia="Calibri" w:hAnsi="Calibri"/>
                <w:b/>
                <w:bCs/>
                <w:color w:val="1E7A46"/>
                <w:sz w:val="20"/>
                <w:szCs w:val="20"/>
              </w:rPr>
              <w:t xml:space="preserve">Life Sciences, Biotech &amp; Health Innovation</w:t>
            </w:r>
          </w:p>
          <w:p>
            <w:pPr>
              <w:spacing w:before="30"/>
            </w:pPr>
            <w:r>
              <w:rPr>
                <w:rFonts w:ascii="Calibri" w:cs="Calibri" w:eastAsia="Calibri" w:hAnsi="Calibri"/>
                <w:i/>
                <w:iCs/>
                <w:color w:val="5B6472"/>
                <w:sz w:val="17"/>
                <w:szCs w:val="17"/>
              </w:rPr>
              <w:t xml:space="preserve">secondary — wellness &amp; behavioral health</w:t>
            </w:r>
          </w:p>
        </w:tc>
      </w:tr>
    </w:tbl>
    <w:p>
      <w:pPr>
        <w:pStyle w:val="Heading1"/>
        <w:pBdr>
          <w:bottom w:val="single" w:color="CCCCCC" w:sz="4" w:space="4"/>
        </w:pBdr>
        <w:spacing w:after="120" w:before="300"/>
      </w:pPr>
      <w:r>
        <w:rPr>
          <w:rFonts w:ascii="Calibri" w:cs="Calibri" w:eastAsia="Calibri" w:hAnsi="Calibri"/>
          <w:b/>
          <w:bCs/>
          <w:color w:val="232D4B"/>
          <w:sz w:val="26"/>
          <w:szCs w:val="26"/>
        </w:rPr>
        <w:t xml:space="preserve">Pan-University Priorities &amp; Centers Without a Dedicated School Lead</w:t>
      </w:r>
    </w:p>
    <w:p>
      <w:pPr>
        <w:spacing w:after="140"/>
      </w:pPr>
      <w:r>
        <w:rPr>
          <w:rFonts w:ascii="Calibri" w:cs="Calibri" w:eastAsia="Calibri" w:hAnsi="Calibri"/>
          <w:color w:val="1A1A1A"/>
          <w:sz w:val="21"/>
          <w:szCs w:val="21"/>
        </w:rPr>
        <w:t xml:space="preserve">As with the CR Thematic Placement Model, school placements organize how the Corporate Relations team works — they do not define or limit who the team serves. Every school, unit, center, and initiative at UVA can access Corporate Relations support regardless of its placement below.</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3440"/>
        <w:gridCol w:w="6800"/>
      </w:tblGrid>
      <w:tr>
        <w:trPr>
          <w:tblHeader/>
        </w:trPr>
        <w:tc>
          <w:tcPr>
            <w:tcW w:type="dxa" w:w="3440"/>
            <w:tcBorders>
              <w:top w:val="single" w:color="D9DCE3" w:sz="2"/>
              <w:left w:val="single" w:color="D9DCE3" w:sz="2"/>
              <w:bottom w:val="single" w:color="D9DCE3" w:sz="2"/>
              <w:right w:val="single" w:color="D9DCE3" w:sz="2"/>
            </w:tcBorders>
            <w:shd w:fill="232D4B"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Pan-University Priority</w:t>
            </w:r>
          </w:p>
        </w:tc>
        <w:tc>
          <w:tcPr>
            <w:tcW w:type="dxa" w:w="6800"/>
            <w:tcBorders>
              <w:top w:val="single" w:color="D9DCE3" w:sz="2"/>
              <w:left w:val="single" w:color="D9DCE3" w:sz="2"/>
              <w:bottom w:val="single" w:color="D9DCE3" w:sz="2"/>
              <w:right w:val="single" w:color="D9DCE3" w:sz="2"/>
            </w:tcBorders>
            <w:shd w:fill="232D4B" w:color="auto" w:val="clear"/>
            <w:tcMar>
              <w:top w:type="dxa" w:w="90"/>
              <w:left w:type="dxa" w:w="110"/>
              <w:bottom w:type="dxa" w:w="90"/>
              <w:right w:type="dxa" w:w="110"/>
            </w:tcMar>
            <w:vAlign w:val="center"/>
          </w:tcPr>
          <w:p>
            <w:r>
              <w:rPr>
                <w:rFonts w:ascii="Calibri" w:cs="Calibri" w:eastAsia="Calibri" w:hAnsi="Calibri"/>
                <w:b/>
                <w:bCs/>
                <w:color w:val="FFFFFF"/>
                <w:sz w:val="20"/>
                <w:szCs w:val="20"/>
              </w:rPr>
              <w:t xml:space="preserve">How It's Handled Under This Model</w:t>
            </w:r>
          </w:p>
        </w:tc>
      </w:tr>
      <w:tr>
        <w:tc>
          <w:tcPr>
            <w:tcW w:type="dxa" w:w="34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UVA Arts (Fralin Museum of Art, Virginia Film Festival, and related programs)</w:t>
            </w:r>
          </w:p>
        </w:tc>
        <w:tc>
          <w:tcPr>
            <w:tcW w:type="dxa" w:w="68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Not assigned to a dedicated placement given limited corporate co-investment potential relative to other priorities. Corporate partners with arts sponsorship, community engagement, or brand-alignment interests can be referred to the CR team for assessment.</w:t>
            </w:r>
          </w:p>
        </w:tc>
      </w:tr>
      <w:tr>
        <w:tc>
          <w:tcPr>
            <w:tcW w:type="dxa" w:w="34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VA Humanities (includes the VA Festival of the Book)</w:t>
            </w:r>
          </w:p>
        </w:tc>
        <w:tc>
          <w:tcPr>
            <w:tcW w:type="dxa" w:w="68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Provost-level initiative; eligible for CR support as a pan-university priority. Likely thematic fit is Democracy, Policy &amp; Social Innovation given its humanities and civic focus, but engagement is assessed case by case.</w:t>
            </w:r>
          </w:p>
        </w:tc>
      </w:tr>
      <w:tr>
        <w:tc>
          <w:tcPr>
            <w:tcW w:type="dxa" w:w="34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Gun Violence Solutions Project</w:t>
            </w:r>
          </w:p>
        </w:tc>
        <w:tc>
          <w:tcPr>
            <w:tcW w:type="dxa" w:w="68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Provost-level initiative; eligible for CR support as a pan-university priority. Likely thematic fit is Democracy, Policy &amp; Social Innovation given its policy focus, assessed case by case.</w:t>
            </w:r>
          </w:p>
        </w:tc>
      </w:tr>
      <w:tr>
        <w:tc>
          <w:tcPr>
            <w:tcW w:type="dxa" w:w="344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Global (Office of the Vice Provost for Global Affairs)</w:t>
            </w:r>
          </w:p>
        </w:tc>
        <w:tc>
          <w:tcPr>
            <w:tcW w:type="dxa" w:w="6800"/>
            <w:tcBorders>
              <w:top w:val="single" w:color="D9DCE3" w:sz="2"/>
              <w:left w:val="single" w:color="D9DCE3" w:sz="2"/>
              <w:bottom w:val="single" w:color="D9DCE3" w:sz="2"/>
              <w:right w:val="single" w:color="D9DCE3" w:sz="2"/>
            </w:tcBorders>
            <w:shd w:fill="F4F5F7"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Provost-level initiative; eligible for CR support as a pan-university priority, assessed case by case based on the specific partner, region, and theme in play.</w:t>
            </w:r>
          </w:p>
        </w:tc>
      </w:tr>
      <w:tr>
        <w:tc>
          <w:tcPr>
            <w:tcW w:type="dxa" w:w="344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bCs/>
                <w:color w:val="1A1A1A"/>
                <w:sz w:val="20"/>
                <w:szCs w:val="20"/>
              </w:rPr>
              <w:t xml:space="preserve">Any other Provost-level initiative, research center, or cross-cutting priority not named in this document</w:t>
            </w:r>
          </w:p>
        </w:tc>
        <w:tc>
          <w:tcPr>
            <w:tcW w:type="dxa" w:w="6800"/>
            <w:tcBorders>
              <w:top w:val="single" w:color="D9DCE3" w:sz="2"/>
              <w:left w:val="single" w:color="D9DCE3" w:sz="2"/>
              <w:bottom w:val="single" w:color="D9DCE3" w:sz="2"/>
              <w:right w:val="single" w:color="D9DCE3" w:sz="2"/>
            </w:tcBorders>
            <w:shd w:fill="FFFFFF" w:color="auto" w:val="clear"/>
            <w:tcMar>
              <w:top w:type="dxa" w:w="90"/>
              <w:left w:type="dxa" w:w="110"/>
              <w:bottom w:type="dxa" w:w="90"/>
              <w:right w:type="dxa" w:w="110"/>
            </w:tcMar>
            <w:vAlign w:val="center"/>
          </w:tcPr>
          <w:p>
            <w:pPr>
              <w:jc w:val="left"/>
            </w:pPr>
            <w:r>
              <w:rPr>
                <w:rFonts w:ascii="Calibri" w:cs="Calibri" w:eastAsia="Calibri" w:hAnsi="Calibri"/>
                <w:b w:val="false"/>
                <w:bCs w:val="false"/>
                <w:color w:val="333333"/>
                <w:sz w:val="20"/>
                <w:szCs w:val="20"/>
              </w:rPr>
              <w:t xml:space="preserve">Eligible for CR support. Reach out to the team to discuss prospective partners — we will assess fit and assign a lead.</w:t>
            </w:r>
          </w:p>
        </w:tc>
      </w:tr>
    </w:tbl>
    <w:p>
      <w:pPr>
        <w:pStyle w:val="Heading1"/>
        <w:pBdr>
          <w:bottom w:val="single" w:color="CCCCCC" w:sz="4" w:space="4"/>
        </w:pBdr>
        <w:spacing w:after="120" w:before="300"/>
      </w:pPr>
      <w:r>
        <w:rPr>
          <w:rFonts w:ascii="Calibri" w:cs="Calibri" w:eastAsia="Calibri" w:hAnsi="Calibri"/>
          <w:b/>
          <w:bCs/>
          <w:color w:val="232D4B"/>
          <w:sz w:val="26"/>
          <w:szCs w:val="26"/>
        </w:rPr>
        <w:t xml:space="preserve">Cross-Cutting Priorities</w:t>
      </w:r>
    </w:p>
    <w:p>
      <w:pPr>
        <w:spacing w:after="140"/>
      </w:pPr>
      <w:r>
        <w:rPr>
          <w:rFonts w:ascii="Calibri" w:cs="Calibri" w:eastAsia="Calibri" w:hAnsi="Calibri"/>
          <w:color w:val="1A1A1A"/>
          <w:sz w:val="21"/>
          <w:szCs w:val="21"/>
        </w:rPr>
        <w:t xml:space="preserve">Several areas require active collaboration between both officers regardless of primary school placement:</w:t>
      </w:r>
    </w:p>
    <w:p>
      <w:pPr>
        <w:pStyle w:val="ListParagraph"/>
        <w:numPr>
          <w:ilvl w:val="0"/>
          <w:numId w:val="2"/>
        </w:numPr>
        <w:spacing w:after="90"/>
      </w:pPr>
      <w:r>
        <w:rPr>
          <w:rFonts w:ascii="Calibri" w:cs="Calibri" w:eastAsia="Calibri" w:hAnsi="Calibri"/>
          <w:b/>
          <w:bCs/>
          <w:color w:val="1A1A1A"/>
          <w:sz w:val="21"/>
          <w:szCs w:val="21"/>
        </w:rPr>
        <w:t xml:space="preserve">UVA Research Hub — </w:t>
      </w:r>
      <w:r>
        <w:rPr>
          <w:rFonts w:ascii="Calibri" w:cs="Calibri" w:eastAsia="Calibri" w:hAnsi="Calibri"/>
          <w:color w:val="1A1A1A"/>
          <w:sz w:val="21"/>
          <w:szCs w:val="21"/>
        </w:rPr>
        <w:t xml:space="preserve">both officers monitor Research Hub activity as the primary intelligence source for faculty engagement and prospect identification across all schools.</w:t>
      </w:r>
    </w:p>
    <w:p>
      <w:pPr>
        <w:pStyle w:val="ListParagraph"/>
        <w:numPr>
          <w:ilvl w:val="0"/>
          <w:numId w:val="2"/>
        </w:numPr>
        <w:spacing w:after="90"/>
      </w:pPr>
      <w:r>
        <w:rPr>
          <w:rFonts w:ascii="Calibri" w:cs="Calibri" w:eastAsia="Calibri" w:hAnsi="Calibri"/>
          <w:b/>
          <w:bCs/>
          <w:color w:val="1A1A1A"/>
          <w:sz w:val="21"/>
          <w:szCs w:val="21"/>
        </w:rPr>
        <w:t xml:space="preserve">Federal Funding Watch — </w:t>
      </w:r>
      <w:r>
        <w:rPr>
          <w:rFonts w:ascii="Calibri" w:cs="Calibri" w:eastAsia="Calibri" w:hAnsi="Calibri"/>
          <w:color w:val="1A1A1A"/>
          <w:sz w:val="21"/>
          <w:szCs w:val="21"/>
        </w:rPr>
        <w:t xml:space="preserve">when major federal agency announcements are made (NSF, NIH, DOE, DARPA, etc.), both officers assess corporate co-investment potential within their assigned schools and flag joint prospects.</w:t>
      </w:r>
    </w:p>
    <w:p>
      <w:pPr>
        <w:pStyle w:val="ListParagraph"/>
        <w:numPr>
          <w:ilvl w:val="0"/>
          <w:numId w:val="2"/>
        </w:numPr>
        <w:spacing w:after="90"/>
      </w:pPr>
      <w:r>
        <w:rPr>
          <w:rFonts w:ascii="Calibri" w:cs="Calibri" w:eastAsia="Calibri" w:hAnsi="Calibri"/>
          <w:b/>
          <w:bCs/>
          <w:color w:val="1A1A1A"/>
          <w:sz w:val="21"/>
          <w:szCs w:val="21"/>
        </w:rPr>
        <w:t xml:space="preserve">Multi-school and multi-theme corporate partners — </w:t>
      </w:r>
      <w:r>
        <w:rPr>
          <w:rFonts w:ascii="Calibri" w:cs="Calibri" w:eastAsia="Calibri" w:hAnsi="Calibri"/>
          <w:color w:val="1A1A1A"/>
          <w:sz w:val="21"/>
          <w:szCs w:val="21"/>
        </w:rPr>
        <w:t xml:space="preserve">companies with broad research interests spanning several schools (e.g., major tech, energy, or life-sciences firms) are managed jointly with a clear lead designated.</w:t>
      </w:r>
    </w:p>
    <w:p>
      <w:pPr>
        <w:pStyle w:val="ListParagraph"/>
        <w:numPr>
          <w:ilvl w:val="0"/>
          <w:numId w:val="2"/>
        </w:numPr>
        <w:spacing w:after="90"/>
      </w:pPr>
      <w:r>
        <w:rPr>
          <w:rFonts w:ascii="Calibri" w:cs="Calibri" w:eastAsia="Calibri" w:hAnsi="Calibri"/>
          <w:b/>
          <w:bCs/>
          <w:color w:val="1A1A1A"/>
          <w:sz w:val="21"/>
          <w:szCs w:val="21"/>
        </w:rPr>
        <w:t xml:space="preserve">Arts &amp; Sciences (incl. Honors College) — </w:t>
      </w:r>
      <w:r>
        <w:rPr>
          <w:rFonts w:ascii="Calibri" w:cs="Calibri" w:eastAsia="Calibri" w:hAnsi="Calibri"/>
          <w:color w:val="1A1A1A"/>
          <w:sz w:val="21"/>
          <w:szCs w:val="21"/>
        </w:rPr>
        <w:t xml:space="preserve">as the College builds its corporate engagement strategy, both officers support thematically relevant prospect identification and faculty introductions across A&amp;S departments and the Honors College.</w:t>
      </w:r>
    </w:p>
    <w:p>
      <w:pPr>
        <w:pStyle w:val="Heading1"/>
        <w:pBdr>
          <w:bottom w:val="single" w:color="CCCCCC" w:sz="4" w:space="4"/>
        </w:pBdr>
        <w:spacing w:after="120" w:before="300"/>
      </w:pPr>
      <w:r>
        <w:rPr>
          <w:rFonts w:ascii="Calibri" w:cs="Calibri" w:eastAsia="Calibri" w:hAnsi="Calibri"/>
          <w:b/>
          <w:bCs/>
          <w:color w:val="232D4B"/>
          <w:sz w:val="26"/>
          <w:szCs w:val="26"/>
        </w:rPr>
        <w:t xml:space="preserve">A Note on Scope</w:t>
      </w:r>
    </w:p>
    <w:p>
      <w:pPr>
        <w:spacing w:after="140"/>
      </w:pPr>
      <w:r>
        <w:rPr>
          <w:rFonts w:ascii="Calibri" w:cs="Calibri" w:eastAsia="Calibri" w:hAnsi="Calibri"/>
          <w:color w:val="1A1A1A"/>
          <w:sz w:val="21"/>
          <w:szCs w:val="21"/>
        </w:rPr>
        <w:t xml:space="preserve">This model is designed to organize how the Corporate Relations team works — not to define or limit who it serves. Any school, unit, center, or pan-university initiative with a prospective corporate partner relationship, regardless of its placement above, is encouraged to connect directly with the Corporate Relations team. We will identify the right lead and engage accordingly.</w:t>
      </w:r>
    </w:p>
    <w:p>
      <w:pPr>
        <w:spacing w:after="140"/>
      </w:pPr>
      <w:r>
        <w:rPr>
          <w:rFonts w:ascii="Calibri" w:cs="Calibri" w:eastAsia="Calibri" w:hAnsi="Calibri"/>
          <w:color w:val="1A1A1A"/>
          <w:sz w:val="21"/>
          <w:szCs w:val="21"/>
        </w:rPr>
        <w:t xml:space="preserve">This model will evolve alongside the FR liaison model and the CR thematic model it builds on. In the first year, the team will gather feedback from schools, units, and research leadership to calibrate placements, identify gaps, and refine scope. Units are encouraged to flag emerging corporate opportunities early — the earlier a relationship is in play, the more effectively the team can support it.</w:t>
      </w:r>
    </w:p>
    <w:p>
      <w:pPr>
        <w:pBdr>
          <w:top w:val="single" w:color="CCCCCC" w:sz="4" w:space="6"/>
        </w:pBdr>
        <w:spacing w:before="300"/>
        <w:jc w:val="center"/>
      </w:pPr>
      <w:r>
        <w:rPr>
          <w:rFonts w:ascii="Calibri" w:cs="Calibri" w:eastAsia="Calibri" w:hAnsi="Calibri"/>
          <w:i/>
          <w:iCs/>
          <w:color w:val="666666"/>
          <w:sz w:val="18"/>
          <w:szCs w:val="18"/>
        </w:rPr>
        <w:t xml:space="preserve">University of Virginia  |  Corporate &amp; Foundation Relations  |  September 2026  |  Internal Use Only</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2026-09-01T18:55:31.120Z</dcterms:created>
  <dcterms:modified xsi:type="dcterms:W3CDTF">2026-09-01T18:55:31.120Z</dcterms:modified>
</cp:coreProperties>
</file>

<file path=docProps/custom.xml><?xml version="1.0" encoding="utf-8"?>
<Properties xmlns="http://schemas.openxmlformats.org/officeDocument/2006/custom-properties" xmlns:vt="http://schemas.openxmlformats.org/officeDocument/2006/docPropsVTypes"/>
</file>