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32D4B"/>
          <w:sz w:val="40"/>
          <w:szCs w:val="40"/>
        </w:rPr>
        <w:t xml:space="preserve">CORPORATE RELATIONS</w:t>
      </w:r>
    </w:p>
    <w:p>
      <w:pPr>
        <w:spacing w:after="40"/>
      </w:pPr>
      <w:r>
        <w:rPr>
          <w:rFonts w:ascii="Calibri" w:cs="Calibri" w:eastAsia="Calibri" w:hAnsi="Calibri"/>
          <w:b/>
          <w:bCs/>
          <w:color w:val="E57200"/>
          <w:sz w:val="28"/>
          <w:szCs w:val="28"/>
        </w:rPr>
        <w:t xml:space="preserve">School &amp; Unit Placement Model</w:t>
      </w:r>
    </w:p>
    <w:p>
      <w:pPr>
        <w:pBdr>
          <w:bottom w:val="single" w:color="232D4B" w:sz="6" w:space="6"/>
        </w:pBdr>
        <w:spacing w:after="240"/>
      </w:pPr>
      <w:r>
        <w:rPr>
          <w:rFonts w:ascii="Calibri" w:cs="Calibri" w:eastAsia="Calibri" w:hAnsi="Calibri"/>
          <w:i/>
          <w:iCs/>
          <w:color w:val="444444"/>
          <w:sz w:val="20"/>
          <w:szCs w:val="20"/>
        </w:rPr>
        <w:t xml:space="preserve">University of Virginia  |  Division of External Relations  |  Effective September 2026</w:t>
      </w:r>
    </w:p>
    <w:p>
      <w:pPr>
        <w:pStyle w:val="Heading1"/>
        <w:keepNext/>
        <w:pBdr>
          <w:bottom w:val="single" w:color="CCCCCC" w:sz="4" w:space="4"/>
        </w:pBdr>
        <w:spacing w:after="120" w:before="300"/>
      </w:pPr>
      <w:r>
        <w:rPr>
          <w:rFonts w:ascii="Calibri" w:cs="Calibri" w:eastAsia="Calibri" w:hAnsi="Calibri"/>
          <w:b/>
          <w:bCs/>
          <w:color w:val="232D4B"/>
          <w:sz w:val="26"/>
          <w:szCs w:val="26"/>
        </w:rPr>
        <w:t xml:space="preserve">Overview</w:t>
      </w:r>
    </w:p>
    <w:p>
      <w:pPr>
        <w:spacing w:after="140"/>
      </w:pPr>
      <w:r>
        <w:rPr>
          <w:rFonts w:ascii="Calibri" w:cs="Calibri" w:eastAsia="Calibri" w:hAnsi="Calibri"/>
          <w:color w:val="1A1A1A"/>
          <w:sz w:val="21"/>
          <w:szCs w:val="21"/>
        </w:rPr>
        <w:t xml:space="preserve">The Corporate Relations team will adopt a school and unit placement model, beginning September 2026, designed to reimagine how we organize our work to best support corporate fundraising across Grounds. This model — mirroring the placement model the Foundation Relations team piloted beginning April 2026 — enables Corporate Relations development officers to be more deeply embedded in select schools and units and serve as a consistent point of contact.</w:t>
      </w:r>
    </w:p>
    <w:p>
      <w:pPr>
        <w:spacing w:after="140"/>
      </w:pPr>
      <w:r>
        <w:rPr>
          <w:rFonts w:ascii="Calibri" w:cs="Calibri" w:eastAsia="Calibri" w:hAnsi="Calibri"/>
          <w:color w:val="1A1A1A"/>
          <w:sz w:val="21"/>
          <w:szCs w:val="21"/>
        </w:rPr>
        <w:t xml:space="preserve">With two full-time corporate officers, this model maximizes coverage by pairing each officer with a set of schools and the centers, institutes, and initiatives that most closely support them. The Health System is excluded from this model; Health-aligned corporate partnerships (Medical Center and Cancer Center clinical operations) are managed separately. Research-facing engagement tied to the Manning Institute, the Brain Institute, Nursing research, and the School of Medicine's research enterprise remains in scope.</w:t>
      </w:r>
    </w:p>
    <w:p>
      <w:pPr>
        <w:pStyle w:val="Heading1"/>
        <w:keepNext/>
        <w:pBdr>
          <w:bottom w:val="single" w:color="CCCCCC" w:sz="4" w:space="4"/>
        </w:pBdr>
        <w:spacing w:after="120" w:before="300"/>
      </w:pPr>
      <w:r>
        <w:rPr>
          <w:rFonts w:ascii="Calibri" w:cs="Calibri" w:eastAsia="Calibri" w:hAnsi="Calibri"/>
          <w:b/>
          <w:bCs/>
          <w:color w:val="232D4B"/>
          <w:sz w:val="26"/>
          <w:szCs w:val="26"/>
        </w:rPr>
        <w:t xml:space="preserve">About the Assignments</w:t>
      </w:r>
    </w:p>
    <w:p>
      <w:pPr>
        <w:pStyle w:val="ListParagraph"/>
        <w:numPr>
          <w:ilvl w:val="0"/>
          <w:numId w:val="2"/>
        </w:numPr>
        <w:spacing w:after="90"/>
      </w:pPr>
      <w:r>
        <w:rPr>
          <w:rFonts w:ascii="Calibri" w:cs="Calibri" w:eastAsia="Calibri" w:hAnsi="Calibri"/>
          <w:color w:val="1A1A1A"/>
          <w:sz w:val="21"/>
          <w:szCs w:val="21"/>
        </w:rPr>
        <w:t xml:space="preserve">Assignments are organized around schools and key university priorities with significant corporate funding potential, while ensuring that assignments are balanced within the team.</w:t>
      </w:r>
    </w:p>
    <w:p>
      <w:pPr>
        <w:pStyle w:val="ListParagraph"/>
        <w:numPr>
          <w:ilvl w:val="0"/>
          <w:numId w:val="2"/>
        </w:numPr>
        <w:spacing w:after="90"/>
      </w:pPr>
      <w:r>
        <w:rPr>
          <w:rFonts w:ascii="Calibri" w:cs="Calibri" w:eastAsia="Calibri" w:hAnsi="Calibri"/>
          <w:color w:val="1A1A1A"/>
          <w:sz w:val="21"/>
          <w:szCs w:val="21"/>
        </w:rPr>
        <w:t xml:space="preserve">While this model creates an officer lead for units, the team will work collaboratively across assignments as needed to provide necessary support.</w:t>
      </w:r>
    </w:p>
    <w:p>
      <w:pPr>
        <w:pStyle w:val="ListParagraph"/>
        <w:numPr>
          <w:ilvl w:val="0"/>
          <w:numId w:val="2"/>
        </w:numPr>
        <w:spacing w:after="90"/>
      </w:pPr>
      <w:r>
        <w:rPr>
          <w:rFonts w:ascii="Calibri" w:cs="Calibri" w:eastAsia="Calibri" w:hAnsi="Calibri"/>
          <w:color w:val="1A1A1A"/>
          <w:sz w:val="21"/>
          <w:szCs w:val="21"/>
        </w:rPr>
        <w:t xml:space="preserve">All 12 schools and Wise have a Corporate Relations point of contact; not all pan-university initiatives and centers do. Team support for the latter is based on prospective funding opportunities (see “Not Yet Assigned” below).</w:t>
      </w:r>
    </w:p>
    <w:p>
      <w:pPr>
        <w:pStyle w:val="ListParagraph"/>
        <w:numPr>
          <w:ilvl w:val="0"/>
          <w:numId w:val="2"/>
        </w:numPr>
        <w:spacing w:after="90"/>
      </w:pPr>
      <w:r>
        <w:rPr>
          <w:rFonts w:ascii="Calibri" w:cs="Calibri" w:eastAsia="Calibri" w:hAnsi="Calibri"/>
          <w:color w:val="1A1A1A"/>
          <w:sz w:val="21"/>
          <w:szCs w:val="21"/>
        </w:rPr>
        <w:t xml:space="preserve">In the first year of this model, we anticipate the need to calibrate assignments based on team and unit feedback.</w:t>
      </w:r>
    </w:p>
    <w:p>
      <w:pPr>
        <w:pStyle w:val="ListParagraph"/>
        <w:numPr>
          <w:ilvl w:val="0"/>
          <w:numId w:val="2"/>
        </w:numPr>
        <w:spacing w:after="90"/>
      </w:pPr>
      <w:r>
        <w:rPr>
          <w:rFonts w:ascii="Calibri" w:cs="Calibri" w:eastAsia="Calibri" w:hAnsi="Calibri"/>
          <w:color w:val="1A1A1A"/>
          <w:sz w:val="21"/>
          <w:szCs w:val="21"/>
        </w:rPr>
        <w:t xml:space="preserve">To the extent possible, team portfolios will align with placement assignments; however, we acknowledge there are existing corporate relationships that may not fit neatly within this structure.</w:t>
      </w:r>
    </w:p>
    <w:p>
      <w:pPr>
        <w:pStyle w:val="Heading1"/>
        <w:keepNext/>
        <w:pBdr>
          <w:bottom w:val="single" w:color="CCCCCC" w:sz="4" w:space="4"/>
        </w:pBdr>
        <w:spacing w:after="120" w:before="300"/>
      </w:pPr>
      <w:r>
        <w:rPr>
          <w:rFonts w:ascii="Calibri" w:cs="Calibri" w:eastAsia="Calibri" w:hAnsi="Calibri"/>
          <w:b/>
          <w:bCs/>
          <w:color w:val="232D4B"/>
          <w:sz w:val="26"/>
          <w:szCs w:val="26"/>
        </w:rPr>
        <w:t xml:space="preserve">Assignment Expectations</w:t>
      </w:r>
    </w:p>
    <w:p>
      <w:pPr>
        <w:spacing w:after="140"/>
      </w:pPr>
      <w:r>
        <w:rPr>
          <w:rFonts w:ascii="Calibri" w:cs="Calibri" w:eastAsia="Calibri" w:hAnsi="Calibri"/>
          <w:b/>
          <w:bCs/>
          <w:color w:val="1A1A1A"/>
          <w:sz w:val="21"/>
          <w:szCs w:val="21"/>
        </w:rPr>
        <w:t xml:space="preserve">Officers will:</w:t>
      </w:r>
    </w:p>
    <w:p>
      <w:pPr>
        <w:pStyle w:val="ListParagraph"/>
        <w:numPr>
          <w:ilvl w:val="0"/>
          <w:numId w:val="2"/>
        </w:numPr>
        <w:spacing w:after="90"/>
      </w:pPr>
      <w:r>
        <w:rPr>
          <w:rFonts w:ascii="Calibri" w:cs="Calibri" w:eastAsia="Calibri" w:hAnsi="Calibri"/>
          <w:color w:val="1A1A1A"/>
          <w:sz w:val="21"/>
          <w:szCs w:val="21"/>
        </w:rPr>
        <w:t xml:space="preserve">Schedule initial intro/intake meetings with school deans' offices and unit development leads and set up a recurring meeting to refine shared priorities, review funding needs, discuss prospects, and report on faculty engagement and proposal activity.</w:t>
      </w:r>
    </w:p>
    <w:p>
      <w:pPr>
        <w:pStyle w:val="ListParagraph"/>
        <w:numPr>
          <w:ilvl w:val="0"/>
          <w:numId w:val="2"/>
        </w:numPr>
        <w:spacing w:after="90"/>
      </w:pPr>
      <w:r>
        <w:rPr>
          <w:rFonts w:ascii="Calibri" w:cs="Calibri" w:eastAsia="Calibri" w:hAnsi="Calibri"/>
          <w:b/>
          <w:bCs/>
          <w:color w:val="1A1A1A"/>
          <w:sz w:val="21"/>
          <w:szCs w:val="21"/>
        </w:rPr>
        <w:t xml:space="preserve">Ensure timely delivery of team services, including:</w:t>
      </w:r>
    </w:p>
    <w:p>
      <w:pPr>
        <w:pStyle w:val="ListParagraph"/>
        <w:numPr>
          <w:ilvl w:val="1"/>
          <w:numId w:val="2"/>
        </w:numPr>
        <w:spacing w:after="90"/>
      </w:pPr>
      <w:r>
        <w:rPr>
          <w:rFonts w:ascii="Calibri" w:cs="Calibri" w:eastAsia="Calibri" w:hAnsi="Calibri"/>
          <w:color w:val="1A1A1A"/>
          <w:sz w:val="21"/>
          <w:szCs w:val="21"/>
        </w:rPr>
        <w:t xml:space="preserve">Develop and prioritize prospect lists</w:t>
      </w:r>
    </w:p>
    <w:p>
      <w:pPr>
        <w:pStyle w:val="ListParagraph"/>
        <w:numPr>
          <w:ilvl w:val="1"/>
          <w:numId w:val="2"/>
        </w:numPr>
        <w:spacing w:after="90"/>
      </w:pPr>
      <w:r>
        <w:rPr>
          <w:rFonts w:ascii="Calibri" w:cs="Calibri" w:eastAsia="Calibri" w:hAnsi="Calibri"/>
          <w:color w:val="1A1A1A"/>
          <w:sz w:val="21"/>
          <w:szCs w:val="21"/>
        </w:rPr>
        <w:t xml:space="preserve">Navigate corporate proposal process and timelines</w:t>
      </w:r>
    </w:p>
    <w:p>
      <w:pPr>
        <w:pStyle w:val="ListParagraph"/>
        <w:numPr>
          <w:ilvl w:val="1"/>
          <w:numId w:val="2"/>
        </w:numPr>
        <w:spacing w:after="90"/>
      </w:pPr>
      <w:r>
        <w:rPr>
          <w:rFonts w:ascii="Calibri" w:cs="Calibri" w:eastAsia="Calibri" w:hAnsi="Calibri"/>
          <w:color w:val="1A1A1A"/>
          <w:sz w:val="21"/>
          <w:szCs w:val="21"/>
        </w:rPr>
        <w:t xml:space="preserve">Advise on strategies and relationships with corporate partners and staff</w:t>
      </w:r>
    </w:p>
    <w:p>
      <w:pPr>
        <w:pStyle w:val="ListParagraph"/>
        <w:numPr>
          <w:ilvl w:val="1"/>
          <w:numId w:val="2"/>
        </w:numPr>
        <w:spacing w:after="90"/>
      </w:pPr>
      <w:r>
        <w:rPr>
          <w:rFonts w:ascii="Calibri" w:cs="Calibri" w:eastAsia="Calibri" w:hAnsi="Calibri"/>
          <w:color w:val="1A1A1A"/>
          <w:sz w:val="21"/>
          <w:szCs w:val="21"/>
        </w:rPr>
        <w:t xml:space="preserve">Prepare for and staff meetings with corporate partners</w:t>
      </w:r>
    </w:p>
    <w:p>
      <w:pPr>
        <w:pStyle w:val="ListParagraph"/>
        <w:numPr>
          <w:ilvl w:val="1"/>
          <w:numId w:val="2"/>
        </w:numPr>
        <w:spacing w:after="90"/>
      </w:pPr>
      <w:r>
        <w:rPr>
          <w:rFonts w:ascii="Calibri" w:cs="Calibri" w:eastAsia="Calibri" w:hAnsi="Calibri"/>
          <w:color w:val="1A1A1A"/>
          <w:sz w:val="21"/>
          <w:szCs w:val="21"/>
        </w:rPr>
        <w:t xml:space="preserve">Assist with proposal development, review, and writing submission</w:t>
      </w:r>
    </w:p>
    <w:p>
      <w:pPr>
        <w:pStyle w:val="ListParagraph"/>
        <w:numPr>
          <w:ilvl w:val="1"/>
          <w:numId w:val="2"/>
        </w:numPr>
        <w:spacing w:after="90"/>
      </w:pPr>
      <w:r>
        <w:rPr>
          <w:rFonts w:ascii="Calibri" w:cs="Calibri" w:eastAsia="Calibri" w:hAnsi="Calibri"/>
          <w:color w:val="1A1A1A"/>
          <w:sz w:val="21"/>
          <w:szCs w:val="21"/>
        </w:rPr>
        <w:t xml:space="preserve">Build stewardship plans</w:t>
      </w:r>
    </w:p>
    <w:p>
      <w:pPr>
        <w:pStyle w:val="ListParagraph"/>
        <w:numPr>
          <w:ilvl w:val="0"/>
          <w:numId w:val="2"/>
        </w:numPr>
        <w:spacing w:after="90"/>
      </w:pPr>
      <w:r>
        <w:rPr>
          <w:rFonts w:ascii="Calibri" w:cs="Calibri" w:eastAsia="Calibri" w:hAnsi="Calibri"/>
          <w:color w:val="1A1A1A"/>
          <w:sz w:val="21"/>
          <w:szCs w:val="21"/>
        </w:rPr>
        <w:t xml:space="preserve">Once this model is established, a long-term vision is to jointly build with schools an annual corporate engagement plan.</w:t>
      </w:r>
    </w:p>
    <w:p>
      <w:pPr>
        <w:pStyle w:val="Heading1"/>
        <w:keepNext/>
        <w:pBdr>
          <w:bottom w:val="single" w:color="CCCCCC" w:sz="4" w:space="4"/>
        </w:pBdr>
        <w:spacing w:after="120" w:before="300"/>
      </w:pPr>
      <w:r>
        <w:rPr>
          <w:rFonts w:ascii="Calibri" w:cs="Calibri" w:eastAsia="Calibri" w:hAnsi="Calibri"/>
          <w:b/>
          <w:bCs/>
          <w:color w:val="232D4B"/>
          <w:sz w:val="26"/>
          <w:szCs w:val="26"/>
        </w:rPr>
        <w:t xml:space="preserve">Corporate Relations Assignments (Effective September 2026)</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10"/>
        <w:gridCol w:w="1680"/>
        <w:gridCol w:w="7750"/>
      </w:tblGrid>
      <w:tr>
        <w:trPr>
          <w:cantSplit/>
        </w:trPr>
        <w:tc>
          <w:tcPr>
            <w:tcW w:type="dxa" w:w="10240"/>
            <w:gridSpan w:val="3"/>
            <w:tcBorders>
              <w:top w:val="single" w:color="D9DCE3" w:sz="2"/>
              <w:left w:val="single" w:color="D9DCE3" w:sz="2"/>
              <w:bottom w:val="single" w:color="D9DCE3" w:sz="2"/>
              <w:right w:val="single" w:color="D9DCE3" w:sz="2"/>
            </w:tcBorders>
            <w:shd w:fill="232D4B" w:color="auto" w:val="clear"/>
            <w:tcMar>
              <w:top w:type="dxa" w:w="120"/>
              <w:left w:type="dxa" w:w="160"/>
              <w:bottom w:type="dxa" w:w="120"/>
              <w:right w:type="dxa" w:w="160"/>
            </w:tcMar>
          </w:tcPr>
          <w:p>
            <w:r>
              <w:rPr>
                <w:rFonts w:ascii="Calibri" w:cs="Calibri" w:eastAsia="Calibri" w:hAnsi="Calibri"/>
                <w:b/>
                <w:bCs/>
                <w:color w:val="FFFFFF"/>
                <w:sz w:val="26"/>
                <w:szCs w:val="26"/>
              </w:rPr>
              <w:t xml:space="preserve">Ryan Weigand</w:t>
            </w:r>
          </w:p>
        </w:tc>
      </w:tr>
      <w:tr>
        <w:trPr>
          <w:cantSplit/>
        </w:trPr>
        <w:tc>
          <w:tcPr>
            <w:tcW w:type="dxa" w:w="810"/>
            <w:tcBorders>
              <w:top w:val="single" w:color="D9DCE3" w:sz="2"/>
              <w:left w:val="single" w:color="D9DCE3" w:sz="2"/>
              <w:bottom w:val="single" w:color="D9DCE3" w:sz="2"/>
              <w:right w:val="single" w:color="D9DCE3" w:sz="2"/>
            </w:tcBorders>
            <w:shd w:fill="E57200"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E57200"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Category</w:t>
            </w:r>
          </w:p>
        </w:tc>
        <w:tc>
          <w:tcPr>
            <w:tcW w:type="dxa" w:w="7750"/>
            <w:tcBorders>
              <w:top w:val="single" w:color="D9DCE3" w:sz="2"/>
              <w:left w:val="single" w:color="D9DCE3" w:sz="2"/>
              <w:bottom w:val="single" w:color="D9DCE3" w:sz="2"/>
              <w:right w:val="single" w:color="D9DCE3" w:sz="2"/>
            </w:tcBorders>
            <w:shd w:fill="E57200"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Unit Name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Technology, Computing &amp; AI</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Engineering</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Technology, Computing &amp; AI</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Data Science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Technology, Computing &amp; AI</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AI@UVA (Provost)</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Life Sciences, Biotech &amp; Health Innovation</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Medicine (research enterprise) — working alongside Ahsan</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Life Sciences, Biotech &amp; Health Innovation</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Nursing (research enterprise) — working alongside Ahsan</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Life Sciences, Biotech &amp; Health Innovation</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Manning Institute of Biotechnology</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Life Sciences, Biotech &amp; Health Innovation</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Brain Institute</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Life Sciences, Biotech &amp; Health Innovation</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Center for Comparative Medicine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Arts &amp; Sciences</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College &amp; Graduate School of Arts &amp; Sciences (incl. Honors College)</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Provost</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Biocomplexity Institute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Provost</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Environmental Institute</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Athletics</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Athletics</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Library</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UVA Library</w:t>
            </w:r>
          </w:p>
        </w:tc>
      </w:tr>
      <w:tr>
        <w:trPr>
          <w:cantSplit/>
        </w:trPr>
        <w:tc>
          <w:tcPr>
            <w:tcW w:type="dxa" w:w="10240"/>
            <w:gridSpan w:val="3"/>
            <w:tcBorders>
              <w:top w:val="single" w:color="D9DCE3" w:sz="2"/>
              <w:left w:val="single" w:color="D9DCE3" w:sz="2"/>
              <w:bottom w:val="single" w:color="D9DCE3" w:sz="2"/>
              <w:right w:val="single" w:color="D9DCE3" w:sz="2"/>
            </w:tcBorders>
            <w:shd w:fill="232D4B" w:color="auto" w:val="clear"/>
            <w:tcMar>
              <w:top w:type="dxa" w:w="120"/>
              <w:left w:type="dxa" w:w="160"/>
              <w:bottom w:type="dxa" w:w="120"/>
              <w:right w:type="dxa" w:w="160"/>
            </w:tcMar>
          </w:tcPr>
          <w:p>
            <w:r>
              <w:rPr>
                <w:rFonts w:ascii="Calibri" w:cs="Calibri" w:eastAsia="Calibri" w:hAnsi="Calibri"/>
                <w:b/>
                <w:bCs/>
                <w:color w:val="FFFFFF"/>
                <w:sz w:val="26"/>
                <w:szCs w:val="26"/>
              </w:rPr>
              <w:t xml:space="preserve">Carrie Combs</w:t>
            </w:r>
          </w:p>
        </w:tc>
      </w:tr>
      <w:tr>
        <w:trPr>
          <w:cantSplit/>
        </w:trPr>
        <w:tc>
          <w:tcPr>
            <w:tcW w:type="dxa" w:w="810"/>
            <w:tcBorders>
              <w:top w:val="single" w:color="D9DCE3" w:sz="2"/>
              <w:left w:val="single" w:color="D9DCE3" w:sz="2"/>
              <w:bottom w:val="single" w:color="D9DCE3" w:sz="2"/>
              <w:right w:val="single" w:color="D9DCE3" w:sz="2"/>
            </w:tcBorders>
            <w:shd w:fill="E57200"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E57200"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Category</w:t>
            </w:r>
          </w:p>
        </w:tc>
        <w:tc>
          <w:tcPr>
            <w:tcW w:type="dxa" w:w="7750"/>
            <w:tcBorders>
              <w:top w:val="single" w:color="D9DCE3" w:sz="2"/>
              <w:left w:val="single" w:color="D9DCE3" w:sz="2"/>
              <w:bottom w:val="single" w:color="D9DCE3" w:sz="2"/>
              <w:right w:val="single" w:color="D9DCE3" w:sz="2"/>
            </w:tcBorders>
            <w:shd w:fill="E57200"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Unit Name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Architecture</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Architecture</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Democracy</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Batten School</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Democracy</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Karsh Institute for Democracy</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Democracy</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Miller Center</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Democracy</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Center for Politics</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Law</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Law</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Education</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Education Rights Institute (Law School)</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Education</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Education &amp; Human Development (EHD)</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Business</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Darden School of Business</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Business</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McIntire School of Commerce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SCPS</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School of Continuing &amp; Professional Studies</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Wise</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UVA Wise</w:t>
            </w:r>
          </w:p>
        </w:tc>
      </w:tr>
      <w:tr>
        <w:tc>
          <w:tcPr>
            <w:tcW w:type="dxa" w:w="810"/>
            <w:tcBorders>
              <w:top w:val="single" w:color="D9DCE3" w:sz="2"/>
              <w:left w:val="single" w:color="D9DCE3" w:sz="2"/>
              <w:bottom w:val="single" w:color="D9DCE3" w:sz="2"/>
              <w:right w:val="single" w:color="D9DCE3" w:sz="2"/>
            </w:tcBorders>
            <w:shd w:fill="FFFFFF"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CSC</w:t>
            </w:r>
          </w:p>
        </w:tc>
        <w:tc>
          <w:tcPr>
            <w:tcW w:type="dxa" w:w="7750"/>
            <w:tcBorders>
              <w:top w:val="single" w:color="D9DCE3" w:sz="2"/>
              <w:left w:val="single" w:color="D9DCE3" w:sz="2"/>
              <w:bottom w:val="single" w:color="D9DCE3" w:sz="2"/>
              <w:right w:val="single" w:color="D9DCE3" w:sz="2"/>
            </w:tcBorders>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Contemplative Sciences Center</w:t>
            </w:r>
          </w:p>
        </w:tc>
      </w:tr>
      <w:tr>
        <w:tc>
          <w:tcPr>
            <w:tcW w:type="dxa" w:w="810"/>
            <w:tcBorders>
              <w:top w:val="single" w:color="D9DCE3" w:sz="2"/>
              <w:left w:val="single" w:color="D9DCE3" w:sz="2"/>
              <w:bottom w:val="single" w:color="D9DCE3" w:sz="2"/>
              <w:right w:val="single" w:color="D9DCE3" w:sz="2"/>
            </w:tcBorders>
            <w:shd w:fill="F4F5F7" w:color="auto" w:val="clear"/>
            <w:tcMar>
              <w:top w:type="dxa" w:w="90"/>
              <w:left w:type="dxa" w:w="60"/>
              <w:bottom w:type="dxa" w:w="90"/>
              <w:right w:type="dxa" w:w="60"/>
            </w:tcMar>
          </w:tcPr>
          <w:p/>
        </w:tc>
        <w:tc>
          <w:tcPr>
            <w:tcW w:type="dxa" w:w="168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bCs/>
                <w:color w:val="1A1A1A"/>
                <w:sz w:val="20"/>
                <w:szCs w:val="20"/>
              </w:rPr>
              <w:t xml:space="preserve">Arts</w:t>
            </w:r>
          </w:p>
        </w:tc>
        <w:tc>
          <w:tcPr>
            <w:tcW w:type="dxa" w:w="7750"/>
            <w:tcBorders>
              <w:top w:val="single" w:color="D9DCE3" w:sz="2"/>
              <w:left w:val="single" w:color="D9DCE3" w:sz="2"/>
              <w:bottom w:val="single" w:color="D9DCE3" w:sz="2"/>
              <w:right w:val="single" w:color="D9DCE3" w:sz="2"/>
            </w:tcBorders>
            <w:shd w:fill="F4F5F7" w:color="auto" w:val="clear"/>
            <w:tcMar>
              <w:top w:type="dxa" w:w="90"/>
              <w:left w:type="dxa" w:w="130"/>
              <w:bottom w:type="dxa" w:w="90"/>
              <w:right w:type="dxa" w:w="130"/>
            </w:tcMar>
            <w:vAlign w:val="center"/>
          </w:tcPr>
          <w:p>
            <w:r>
              <w:rPr>
                <w:rFonts w:ascii="Calibri" w:cs="Calibri" w:eastAsia="Calibri" w:hAnsi="Calibri"/>
                <w:b w:val="false"/>
                <w:bCs w:val="false"/>
                <w:color w:val="1A1A1A"/>
                <w:sz w:val="20"/>
                <w:szCs w:val="20"/>
              </w:rPr>
              <w:t xml:space="preserve">UVA Arts (Fralin Museum of Art, Virginia Film Festival, and related programs)</w:t>
            </w:r>
          </w:p>
        </w:tc>
      </w:tr>
    </w:tbl>
    <w:p>
      <w:pPr>
        <w:pStyle w:val="Heading1"/>
        <w:keepNext/>
        <w:pBdr>
          <w:bottom w:val="single" w:color="CCCCCC" w:sz="4" w:space="4"/>
        </w:pBdr>
        <w:spacing w:after="120" w:before="300"/>
      </w:pPr>
      <w:r>
        <w:rPr>
          <w:rFonts w:ascii="Calibri" w:cs="Calibri" w:eastAsia="Calibri" w:hAnsi="Calibri"/>
          <w:b/>
          <w:bCs/>
          <w:color w:val="232D4B"/>
          <w:sz w:val="26"/>
          <w:szCs w:val="26"/>
        </w:rPr>
        <w:t xml:space="preserve">Not Yet Assigned</w:t>
      </w:r>
    </w:p>
    <w:p>
      <w:pPr>
        <w:spacing w:after="140"/>
      </w:pPr>
      <w:r>
        <w:rPr>
          <w:rFonts w:ascii="Calibri" w:cs="Calibri" w:eastAsia="Calibri" w:hAnsi="Calibri"/>
          <w:color w:val="1A1A1A"/>
          <w:sz w:val="21"/>
          <w:szCs w:val="21"/>
        </w:rPr>
        <w:t xml:space="preserve">The following pan-university initiatives do not yet have a dedicated Corporate Relations assignment. Reach out to the team to discuss prospective partners — we will assess fit and assign a lead:</w:t>
      </w:r>
    </w:p>
    <w:p>
      <w:pPr>
        <w:pStyle w:val="ListParagraph"/>
        <w:numPr>
          <w:ilvl w:val="0"/>
          <w:numId w:val="2"/>
        </w:numPr>
        <w:spacing w:after="90"/>
      </w:pPr>
      <w:r>
        <w:rPr>
          <w:rFonts w:ascii="Calibri" w:cs="Calibri" w:eastAsia="Calibri" w:hAnsi="Calibri"/>
          <w:color w:val="1A1A1A"/>
          <w:sz w:val="21"/>
          <w:szCs w:val="21"/>
        </w:rPr>
        <w:t xml:space="preserve">Weldon Cooper Center (Provost initiative)</w:t>
      </w:r>
    </w:p>
    <w:p>
      <w:pPr>
        <w:pStyle w:val="ListParagraph"/>
        <w:numPr>
          <w:ilvl w:val="0"/>
          <w:numId w:val="2"/>
        </w:numPr>
        <w:spacing w:after="90"/>
      </w:pPr>
      <w:r>
        <w:rPr>
          <w:rFonts w:ascii="Calibri" w:cs="Calibri" w:eastAsia="Calibri" w:hAnsi="Calibri"/>
          <w:color w:val="1A1A1A"/>
          <w:sz w:val="21"/>
          <w:szCs w:val="21"/>
        </w:rPr>
        <w:t xml:space="preserve">VA Humanities (includes the VA Festival of the Book)</w:t>
      </w:r>
    </w:p>
    <w:p>
      <w:pPr>
        <w:pStyle w:val="ListParagraph"/>
        <w:numPr>
          <w:ilvl w:val="0"/>
          <w:numId w:val="2"/>
        </w:numPr>
        <w:spacing w:after="90"/>
      </w:pPr>
      <w:r>
        <w:rPr>
          <w:rFonts w:ascii="Calibri" w:cs="Calibri" w:eastAsia="Calibri" w:hAnsi="Calibri"/>
          <w:color w:val="1A1A1A"/>
          <w:sz w:val="21"/>
          <w:szCs w:val="21"/>
        </w:rPr>
        <w:t xml:space="preserve">Gun Violence Solutions Project</w:t>
      </w:r>
    </w:p>
    <w:p>
      <w:pPr>
        <w:pStyle w:val="ListParagraph"/>
        <w:numPr>
          <w:ilvl w:val="0"/>
          <w:numId w:val="2"/>
        </w:numPr>
        <w:spacing w:after="90"/>
      </w:pPr>
      <w:r>
        <w:rPr>
          <w:rFonts w:ascii="Calibri" w:cs="Calibri" w:eastAsia="Calibri" w:hAnsi="Calibri"/>
          <w:color w:val="1A1A1A"/>
          <w:sz w:val="21"/>
          <w:szCs w:val="21"/>
        </w:rPr>
        <w:t xml:space="preserve">Global (Office of the Vice Provost for Global Affairs)</w:t>
      </w:r>
    </w:p>
    <w:p>
      <w:pPr>
        <w:pStyle w:val="ListParagraph"/>
        <w:numPr>
          <w:ilvl w:val="0"/>
          <w:numId w:val="2"/>
        </w:numPr>
        <w:spacing w:after="90"/>
      </w:pPr>
      <w:r>
        <w:rPr>
          <w:rFonts w:ascii="Calibri" w:cs="Calibri" w:eastAsia="Calibri" w:hAnsi="Calibri"/>
          <w:color w:val="1A1A1A"/>
          <w:sz w:val="21"/>
          <w:szCs w:val="21"/>
        </w:rPr>
        <w:t xml:space="preserve">Any other Provost-level initiative or research center not listed above</w:t>
      </w:r>
    </w:p>
    <w:p>
      <w:pPr>
        <w:pStyle w:val="Heading1"/>
        <w:keepNext/>
        <w:pBdr>
          <w:bottom w:val="single" w:color="CCCCCC" w:sz="4" w:space="4"/>
        </w:pBdr>
        <w:spacing w:after="120" w:before="300"/>
      </w:pPr>
      <w:r>
        <w:rPr>
          <w:rFonts w:ascii="Calibri" w:cs="Calibri" w:eastAsia="Calibri" w:hAnsi="Calibri"/>
          <w:b/>
          <w:bCs/>
          <w:color w:val="232D4B"/>
          <w:sz w:val="26"/>
          <w:szCs w:val="26"/>
        </w:rPr>
        <w:t xml:space="preserve">A Note on Scope</w:t>
      </w:r>
    </w:p>
    <w:p>
      <w:pPr>
        <w:spacing w:after="140"/>
      </w:pPr>
      <w:r>
        <w:rPr>
          <w:rFonts w:ascii="Calibri" w:cs="Calibri" w:eastAsia="Calibri" w:hAnsi="Calibri"/>
          <w:color w:val="1A1A1A"/>
          <w:sz w:val="21"/>
          <w:szCs w:val="21"/>
        </w:rPr>
        <w:t xml:space="preserve">This model is designed to organize how the Corporate Relations team works — not to define or limit who it serves. Any school, unit, or center with a prospective corporate partner relationship, regardless of its assignment above, is encouraged to connect directly with the Corporate Relations team. We will identify the right lead and engage accordingly.</w:t>
      </w:r>
    </w:p>
    <w:p>
      <w:pPr>
        <w:spacing w:after="140"/>
      </w:pPr>
      <w:r>
        <w:rPr>
          <w:rFonts w:ascii="Calibri" w:cs="Calibri" w:eastAsia="Calibri" w:hAnsi="Calibri"/>
          <w:color w:val="1A1A1A"/>
          <w:sz w:val="21"/>
          <w:szCs w:val="21"/>
        </w:rPr>
        <w:t xml:space="preserve">This model will evolve alongside the FR liaison model it mirrors. In the first year, the team will gather feedback from schools, units, and research leadership to calibrate assignments, identify gaps, and refine scope.</w:t>
      </w:r>
    </w:p>
    <w:p>
      <w:pPr>
        <w:pBdr>
          <w:top w:val="single" w:color="CCCCCC" w:sz="4" w:space="6"/>
        </w:pBdr>
        <w:spacing w:before="300"/>
        <w:jc w:val="center"/>
      </w:pPr>
      <w:r>
        <w:rPr>
          <w:rFonts w:ascii="Calibri" w:cs="Calibri" w:eastAsia="Calibri" w:hAnsi="Calibri"/>
          <w:i/>
          <w:iCs/>
          <w:color w:val="666666"/>
          <w:sz w:val="18"/>
          <w:szCs w:val="18"/>
        </w:rPr>
        <w:t xml:space="preserve">University of Virginia  |  Corporate &amp; Foundation Relations  |  September 2026  |  Internal Use Only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2026-10-10T11:43:13.949Z</dcterms:created>
  <dcterms:modified xsi:type="dcterms:W3CDTF">2026-10-10T11:43:13.958Z</dcterms:modified>
</cp:coreProperties>
</file>

<file path=docProps/custom.xml><?xml version="1.0" encoding="utf-8"?>
<Properties xmlns="http://schemas.openxmlformats.org/officeDocument/2006/custom-properties" xmlns:vt="http://schemas.openxmlformats.org/officeDocument/2006/docPropsVTypes"/>
</file>