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32D4B"/>
          <w:sz w:val="40"/>
          <w:szCs w:val="40"/>
        </w:rPr>
        <w:t xml:space="preserve">FOUNDATION RELATIONS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57200"/>
          <w:sz w:val="28"/>
          <w:szCs w:val="28"/>
        </w:rPr>
        <w:t xml:space="preserve">Liaison Model</w:t>
      </w:r>
    </w:p>
    <w:p>
      <w:pPr>
        <w:pBdr>
          <w:bottom w:val="single" w:color="232D4B" w:sz="6" w:space="6"/>
        </w:pBdr>
        <w:spacing w:after="2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Virginia  |  Division of External Relations  |  Effective April 2026</w:t>
      </w:r>
    </w:p>
    <w:p>
      <w:pPr>
        <w:pStyle w:val="Heading1"/>
        <w:keepNext/>
        <w:pBdr>
          <w:bottom w:val="single" w:color="CCCCCC" w:sz="4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32D4B"/>
          <w:sz w:val="26"/>
          <w:szCs w:val="26"/>
        </w:rPr>
        <w:t xml:space="preserve">Overview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Foundation Relations team will pilot a new liaison model, beginning April 2026, designed to reimagine how we organize our work to best support foundation fundraising across Grounds. This model – considered a best practice at peer institutions – enables Foundation Relations development officers to be more deeply embedded in select units and serve as a consistent point of contact.</w:t>
      </w:r>
    </w:p>
    <w:p>
      <w:pPr>
        <w:pStyle w:val="Heading1"/>
        <w:keepNext/>
        <w:pBdr>
          <w:bottom w:val="single" w:color="CCCCCC" w:sz="4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32D4B"/>
          <w:sz w:val="26"/>
          <w:szCs w:val="26"/>
        </w:rPr>
        <w:t xml:space="preserve">About the Assignments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Liaison assignments are organized around schools and key university priorities with significant foundation funding potential, while ensuring that assignments are balanced within the team.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While this model will create a team lead for units, the team will work collaboratively across assignments as needed to provide necessary support.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Karol Kozak Lester will work across Grounds on proposals below $150K, as well as be the team liaison for several programs based out of the Provost’s office that we anticipate yielding gifts in this range.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12 schools and Wise have a Foundation Relations liaison, however, not all pan-university initiatives and centers do. Team support for the latter is based on prospective funding opportunities.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first year of the pilot, we anticipate the need to calibrate assignments based on team and unit feedback.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the extent that is possible, team portfolios will align with liaison assignments; however, we acknowledge there are many funders whose priorities do not fit neatly within this structure.</w:t>
      </w:r>
    </w:p>
    <w:p>
      <w:pPr>
        <w:pStyle w:val="Heading1"/>
        <w:keepNext/>
        <w:pBdr>
          <w:bottom w:val="single" w:color="CCCCCC" w:sz="4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32D4B"/>
          <w:sz w:val="26"/>
          <w:szCs w:val="26"/>
        </w:rPr>
        <w:t xml:space="preserve">Assignment Expectations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Liaisons will: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Schedule initial intro/intake meetings with unit development and school leads and set up a reoccurring meeting to refine shared priorities, review funding needs, discuss prospects, report on faculty meetings and proposal activity.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Ensure timely delivery of team services, including: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 and prioritize prospect lists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Navigate foundation proposal process and timelines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Advise on strategies and relationships with foundation officers and staff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Prepare for and staff meetings with foundation officers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 with proposal development, review and writing submission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stewardship plans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Once pilot is complete and we have a strong model in place, a long-term vision is to jointly build with units an annual foundation relations plan.</w:t>
      </w:r>
    </w:p>
    <w:p>
      <w:pPr>
        <w:pStyle w:val="Heading1"/>
        <w:keepNext/>
        <w:pBdr>
          <w:bottom w:val="single" w:color="CCCCCC" w:sz="4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32D4B"/>
          <w:sz w:val="26"/>
          <w:szCs w:val="26"/>
        </w:rPr>
        <w:t xml:space="preserve">Foundation Relations Assignments (as of April 2026)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1680"/>
        <w:gridCol w:w="7750"/>
      </w:tblGrid>
      <w:tr>
        <w:trPr>
          <w:cantSplit/>
        </w:trPr>
        <w:tc>
          <w:tcPr>
            <w:tcW w:type="dxa" w:w="10240"/>
            <w:gridSpan w:val="3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Cait Mohr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Name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Cancer Center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School of Medicine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Medical Center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School of Nursing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Manning Institute of Biotechnology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Brain Institute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Community Health</w:t>
            </w:r>
          </w:p>
        </w:tc>
      </w:tr>
      <w:tr>
        <w:trPr>
          <w:cantSplit/>
        </w:trPr>
        <w:tc>
          <w:tcPr>
            <w:tcW w:type="dxa" w:w="10240"/>
            <w:gridSpan w:val="3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Cara Pomponio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Name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Democracy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Batten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Democracy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Karsh Institute for Democracy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Democracy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Miller Center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Democracy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Center for Politics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Law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Law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Education Rights Institute (Law School)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EHD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CSC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Contemplative Sciences Center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Engineering School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Arts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UVA Arts (Fralin, Film Festival, etc.)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AI@UVA (Provost)</w:t>
            </w:r>
          </w:p>
        </w:tc>
      </w:tr>
      <w:tr>
        <w:trPr>
          <w:cantSplit/>
        </w:trPr>
        <w:tc>
          <w:tcPr>
            <w:tcW w:type="dxa" w:w="10240"/>
            <w:gridSpan w:val="3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Ellen Root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Name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A&amp;S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Arts &amp; Sciences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SDS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School of Data Science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Environmental Institute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Biocomplexity Institute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SCPS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School of Continuing and Professional Studies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Darden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McIntire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Wise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Wise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Library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Library</w:t>
            </w:r>
          </w:p>
        </w:tc>
      </w:tr>
      <w:tr>
        <w:trPr>
          <w:cantSplit/>
        </w:trPr>
        <w:tc>
          <w:tcPr>
            <w:tcW w:type="dxa" w:w="10240"/>
            <w:gridSpan w:val="3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232D4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Karol Kozak Lester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3E6"/>
                <w:sz w:val="18"/>
                <w:szCs w:val="18"/>
              </w:rPr>
              <w:t xml:space="preserve">Generalist on all &lt;$150K proposals &amp; Liaison for Select Provost Initiatives</w:t>
            </w:r>
          </w:p>
        </w:tc>
      </w:tr>
      <w:tr>
        <w:trPr>
          <w:cantSplit/>
        </w:trP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E5720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Name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 Humanities (includes VA Festival of the Book)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Gun Violence Solutions Project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81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/>
        </w:tc>
        <w:tc>
          <w:tcPr>
            <w:tcW w:type="dxa" w:w="168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Provost</w:t>
            </w:r>
          </w:p>
        </w:tc>
        <w:tc>
          <w:tcPr>
            <w:tcW w:type="dxa" w:w="7750"/>
            <w:tcBorders>
              <w:top w:val="single" w:color="D9DCE3" w:sz="2"/>
              <w:left w:val="single" w:color="D9DCE3" w:sz="2"/>
              <w:bottom w:val="single" w:color="D9DCE3" w:sz="2"/>
              <w:right w:val="single" w:color="D9DCE3" w:sz="2"/>
            </w:tcBorders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Weldon Cooper Center</w:t>
            </w:r>
          </w:p>
        </w:tc>
      </w:tr>
    </w:tbl>
    <w:p>
      <w:pPr>
        <w:pBdr>
          <w:top w:val="single" w:color="CCCCCC" w:sz="4" w:space="6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University of Virginia  |  Corporate &amp; Foundation Relations  |  April 2026  |  Internal Use Only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2026-10-10T11:43:14.280Z</dcterms:created>
  <dcterms:modified xsi:type="dcterms:W3CDTF">2026-10-10T11:43:14.280Z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