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u w:val="none" w:color="auto"/>
          <w:lang w:val="en-US" w:eastAsia="zh-CN"/>
        </w:rPr>
      </w:pPr>
      <w:r>
        <w:rPr>
          <w:rFonts w:hint="eastAsia"/>
          <w:sz w:val="28"/>
          <w:szCs w:val="36"/>
          <w:u w:val="none" w:color="auto"/>
          <w:lang w:val="en-US" w:eastAsia="zh-CN"/>
        </w:rPr>
        <w:t>养老体系数据图表汇总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36"/>
          <w:u w:val="none" w:color="auto"/>
          <w:lang w:val="en-US" w:eastAsia="zh-CN"/>
        </w:rPr>
      </w:pPr>
      <w:r>
        <w:rPr>
          <w:rFonts w:hint="eastAsia"/>
          <w:sz w:val="28"/>
          <w:szCs w:val="36"/>
          <w:u w:val="none" w:color="auto"/>
          <w:lang w:val="en-US" w:eastAsia="zh-CN"/>
        </w:rPr>
        <w:t>全国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u w:val="none" w:color="auto"/>
          <w:lang w:val="en-US" w:eastAsia="zh-CN"/>
        </w:rPr>
      </w:pPr>
      <w:r>
        <w:rPr>
          <w:rFonts w:hint="default"/>
          <w:sz w:val="28"/>
          <w:szCs w:val="36"/>
          <w:u w:val="none" w:color="auto"/>
          <w:lang w:val="en-US" w:eastAsia="zh-CN"/>
        </w:rPr>
        <w:t>https://finance.sina.com.cn/stock/stockzmt/2022-03-24/doc-imcwiwss7734820.shtml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drawing>
          <wp:inline distT="0" distB="0" distL="114300" distR="114300">
            <wp:extent cx="4291330" cy="3110865"/>
            <wp:effectExtent l="0" t="0" r="6350" b="13335"/>
            <wp:docPr id="3" name="图片 3" descr="我国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我国数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u w:val="none" w:color="auto"/>
        </w:rPr>
        <w:drawing>
          <wp:inline distT="0" distB="0" distL="114300" distR="114300">
            <wp:extent cx="5276850" cy="3619500"/>
            <wp:effectExtent l="0" t="0" r="11430" b="762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drawing>
          <wp:inline distT="0" distB="0" distL="114300" distR="114300">
            <wp:extent cx="4538980" cy="2865120"/>
            <wp:effectExtent l="0" t="0" r="2540" b="0"/>
            <wp:docPr id="4" name="图片 4" descr="养老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养老排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  <w:u w:val="none" w:color="auto"/>
        </w:rPr>
      </w:pPr>
      <w:r>
        <w:rPr>
          <w:rFonts w:ascii="宋体" w:hAnsi="宋体" w:eastAsia="宋体" w:cs="宋体"/>
          <w:sz w:val="24"/>
          <w:szCs w:val="24"/>
          <w:u w:val="none" w:color="auto"/>
        </w:rPr>
        <w:drawing>
          <wp:inline distT="0" distB="0" distL="114300" distR="114300">
            <wp:extent cx="5276850" cy="33051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  <w:u w:val="none" w:color="auto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t>厦门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instrText xml:space="preserve"> HYPERLINK "https://caifuhao.eastmoney.com/news/20180511111306136019690" </w:instrText>
      </w: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https://caifuhao.eastmoney.com/news/20180511111306136019690</w:t>
      </w: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u w:val="none" w:color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t>老人收入情况：在接受采访的老人中，月收入在2000以下的人群高达43.54%，而这部分的人群之中，有13.55%的老人为独居老人，相对应的娱乐方式、付费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none" w:color="auto"/>
          <w:lang w:val="en-US" w:eastAsia="zh-CN"/>
        </w:rPr>
        <w:t>可能都比较低。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u w:val="none" w:color="auto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 w:color="auto"/>
          <w:lang w:val="en-US" w:eastAsia="zh-CN"/>
        </w:rPr>
        <w:drawing>
          <wp:inline distT="0" distB="0" distL="114300" distR="114300">
            <wp:extent cx="4826635" cy="1934845"/>
            <wp:effectExtent l="0" t="0" r="4445" b="635"/>
            <wp:docPr id="2" name="图片 2" descr="收入调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收入调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4CC30"/>
    <w:multiLevelType w:val="singleLevel"/>
    <w:tmpl w:val="9734CC3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D5228F2"/>
    <w:multiLevelType w:val="singleLevel"/>
    <w:tmpl w:val="BD5228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8660F"/>
    <w:rsid w:val="1CF553AF"/>
    <w:rsid w:val="29E468D9"/>
    <w:rsid w:val="4D8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2022-03-31T12:46:00Z</dcterms:created>
  <dc:creator>且学之</dc:creator>
  <cp:lastModifiedBy>且学之</cp:lastModifiedBy>
  <dcterms:modified xsi:type="dcterms:W3CDTF">2022-03-31T12:53:49Z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8F7C82D9FE3A45D4B053923EB374764F</vt:lpwstr>
  </property>
</Properties>
</file>