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Arial" w:cs="Arial" w:eastAsia="Arial" w:hAnsi="Arial"/>
          <w:b/>
          <w:bCs/>
          <w:color w:val="1F4E78"/>
          <w:sz w:val="48"/>
          <w:szCs w:val="48"/>
        </w:rPr>
        <w:t xml:space="preserve">MANUAL JURÍDICO</w:t>
      </w:r>
    </w:p>
    <w:p>
      <w:pPr>
        <w:spacing w:after="400"/>
        <w:jc w:val="center"/>
      </w:pPr>
      <w:r>
        <w:rPr>
          <w:rFonts w:ascii="Arial" w:cs="Arial" w:eastAsia="Arial" w:hAnsi="Arial"/>
          <w:b/>
          <w:bCs/>
          <w:color w:val="2F75B5"/>
          <w:sz w:val="36"/>
          <w:szCs w:val="36"/>
        </w:rPr>
        <w:t xml:space="preserve">Operação Cooperativa Brat × Oleoplan Nordeste</w:t>
      </w:r>
    </w:p>
    <w:p>
      <w:pPr>
        <w:spacing w:after="200"/>
        <w:jc w:val="center"/>
      </w:pPr>
      <w:r>
        <w:rPr>
          <w:rFonts w:ascii="Arial" w:cs="Arial" w:eastAsia="Arial" w:hAnsi="Arial"/>
          <w:i/>
          <w:iCs/>
          <w:color w:val="595959"/>
          <w:sz w:val="26"/>
          <w:szCs w:val="26"/>
        </w:rPr>
        <w:t xml:space="preserve">Pontos de atenção, regime de transição IBS/CBS 2026-2033 e blindagem jurídica</w:t>
      </w:r>
    </w:p>
    <w:p>
      <w:pPr>
        <w:spacing w:after="200" w:before="1000"/>
        <w:jc w:val="center"/>
      </w:pPr>
      <w:r>
        <w:rPr>
          <w:rFonts w:ascii="Arial" w:cs="Arial" w:eastAsia="Arial" w:hAnsi="Arial"/>
          <w:sz w:val="24"/>
          <w:szCs w:val="24"/>
        </w:rPr>
        <w:t xml:space="preserve">Preparado para: Roberto Ribeiro — Brat Ventures</w:t>
      </w:r>
    </w:p>
    <w:p>
      <w:pPr>
        <w:spacing w:after="200"/>
        <w:jc w:val="center"/>
      </w:pPr>
      <w:r>
        <w:rPr>
          <w:rFonts w:ascii="Arial" w:cs="Arial" w:eastAsia="Arial" w:hAnsi="Arial"/>
          <w:sz w:val="22"/>
          <w:szCs w:val="22"/>
        </w:rPr>
        <w:t xml:space="preserve">Alvo: Oleoplan Nordeste Indústria de Biocombustível Ltda. — CNPJ 13.463.913/0003-58</w:t>
      </w:r>
    </w:p>
    <w:p>
      <w:pPr>
        <w:spacing w:after="200"/>
        <w:jc w:val="center"/>
      </w:pPr>
      <w:r>
        <w:rPr>
          <w:rFonts w:ascii="Arial" w:cs="Arial" w:eastAsia="Arial" w:hAnsi="Arial"/>
          <w:sz w:val="22"/>
          <w:szCs w:val="22"/>
        </w:rPr>
        <w:t xml:space="preserve">Maio de 2026</w:t>
      </w:r>
    </w:p>
    <w:p>
      <w:pPr>
        <w:spacing w:before="800"/>
        <w:jc w:val="center"/>
      </w:pPr>
      <w:r>
        <w:rPr>
          <w:rFonts w:ascii="Arial" w:cs="Arial" w:eastAsia="Arial" w:hAnsi="Arial"/>
          <w:i/>
          <w:iCs/>
          <w:color w:val="C00000"/>
          <w:sz w:val="18"/>
          <w:szCs w:val="18"/>
        </w:rPr>
        <w:t xml:space="preserve">AVISO: este documento NÃO substitui parecer jurídico de escritório especializado. Constitui síntese técnica para tomada de decisão estratégica, com indicações precisas da base legal e da regulamentação em vigor em maio de 2026.</w:t>
      </w:r>
    </w:p>
    <w:p>
      <w:r>
        <w:br w:type="page"/>
      </w:r>
    </w:p>
    <w:p>
      <w:pPr>
        <w:pStyle w:val="Heading1"/>
        <w:spacing w:after="200" w:before="360"/>
      </w:pPr>
      <w:r>
        <w:rPr>
          <w:rFonts w:ascii="Arial" w:cs="Arial" w:eastAsia="Arial" w:hAnsi="Arial"/>
          <w:b/>
          <w:bCs/>
          <w:color w:val="2F75B5"/>
          <w:sz w:val="32"/>
          <w:szCs w:val="32"/>
        </w:rPr>
        <w:t xml:space="preserve">PARTE 1 — CRONOGRAMA DA REFORMA TRIBUTÁRIA: O QUE EXISTE HOJE E O QUE MUDA ATÉ 2033</w:t>
      </w:r>
    </w:p>
    <w:p>
      <w:pPr>
        <w:spacing w:after="100" w:before="0"/>
      </w:pPr>
      <w:r>
        <w:rPr>
          <w:rFonts w:ascii="Arial" w:cs="Arial" w:eastAsia="Arial" w:hAnsi="Arial"/>
          <w:sz w:val="22"/>
          <w:szCs w:val="22"/>
        </w:rPr>
        <w:t xml:space="preserve">A Emenda Constitucional 132/2023 e a Lei Complementar 214/2025 instituíram um novo modelo de tributação sobre o consumo no Brasil, que entra em vigor de forma escalonada entre 1º de janeiro de 2026 e 1º de janeiro de 2033. Durante esse período, dois sistemas tributários convivem em paralelo: o sistema antigo (PIS, COFINS, ICMS, ISS, IPI) coexiste com o novo sistema (CBS e IBS). Esta seção descreve, ano a ano, o que efetivamente muda para a Brat Cargas/Brat Agro como cooperativas e para a Oleoplan como cliente final.</w:t>
      </w:r>
    </w:p>
    <w:p>
      <w:pPr>
        <w:pStyle w:val="Heading2"/>
        <w:spacing w:after="160" w:before="240"/>
      </w:pPr>
      <w:r>
        <w:rPr>
          <w:rFonts w:ascii="Arial" w:cs="Arial" w:eastAsia="Arial" w:hAnsi="Arial"/>
          <w:b/>
          <w:bCs/>
          <w:color w:val="305496"/>
          <w:sz w:val="26"/>
          <w:szCs w:val="26"/>
        </w:rPr>
        <w:t xml:space="preserve">Ano-base: 2026 (em curso) — Fase de testes operacionais</w:t>
      </w:r>
    </w:p>
    <w:p>
      <w:pPr>
        <w:spacing w:after="100" w:before="0"/>
      </w:pPr>
      <w:r>
        <w:rPr>
          <w:rFonts w:ascii="Arial" w:cs="Arial" w:eastAsia="Arial" w:hAnsi="Arial"/>
          <w:sz w:val="22"/>
          <w:szCs w:val="22"/>
        </w:rPr>
        <w:t xml:space="preserve">Desde 1º de janeiro de 2026 todos os contribuintes não-Simples (caso da Brat e da Oleoplan) devem destacar nas notas fiscais eletrônicas dois novos tributos com alíquotas simbólicas:</w:t>
      </w:r>
    </w:p>
    <w:p>
      <w:pPr>
        <w:pStyle w:val="ListParagraph"/>
        <w:numPr>
          <w:ilvl w:val="0"/>
          <w:numId w:val="2"/>
        </w:numPr>
        <w:spacing w:after="80"/>
      </w:pPr>
      <w:r>
        <w:rPr>
          <w:rFonts w:ascii="Arial" w:cs="Arial" w:eastAsia="Arial" w:hAnsi="Arial"/>
          <w:sz w:val="22"/>
          <w:szCs w:val="22"/>
        </w:rPr>
        <w:t xml:space="preserve">CBS (Contribuição sobre Bens e Serviços), federal, à alíquota de 0,9%, que substituirá PIS e COFINS;</w:t>
      </w:r>
    </w:p>
    <w:p>
      <w:pPr>
        <w:pStyle w:val="ListParagraph"/>
        <w:numPr>
          <w:ilvl w:val="0"/>
          <w:numId w:val="2"/>
        </w:numPr>
        <w:spacing w:after="80"/>
      </w:pPr>
      <w:r>
        <w:rPr>
          <w:rFonts w:ascii="Arial" w:cs="Arial" w:eastAsia="Arial" w:hAnsi="Arial"/>
          <w:sz w:val="22"/>
          <w:szCs w:val="22"/>
        </w:rPr>
        <w:t xml:space="preserve">IBS (Imposto sobre Bens e Serviços), de competência compartilhada Estados/Municípios, à alíquota de 0,1%, que substituirá ICMS e ISS.</w:t>
      </w:r>
    </w:p>
    <w:p>
      <w:pPr>
        <w:spacing w:after="100" w:before="0"/>
      </w:pPr>
      <w:r>
        <w:rPr>
          <w:rFonts w:ascii="Arial" w:cs="Arial" w:eastAsia="Arial" w:hAnsi="Arial"/>
          <w:sz w:val="22"/>
          <w:szCs w:val="22"/>
        </w:rPr>
        <w:t xml:space="preserve">Os valores recolhidos nesta fase são devolvidos aos contribuintes que cumprem as obrigações acessórias — ou seja, o impacto financeiro líquido é zero, desde que se cumpra a escrituração corretamente. O objetivo é exclusivamente testar sistemas: emissor de NF-e, ERP, escrituração, validação de cadastro pelo Fisco. Em paralelo, PIS, COFINS, ICMS, ISS e IPI continuam vigentes em sua forma atual, sem alteração de base ou alíquota.</w:t>
      </w:r>
    </w:p>
    <w:p>
      <w:pPr>
        <w:shd w:fill="FFF2CC" w:val="clear"/>
        <w:spacing w:after="120" w:before="120"/>
      </w:pPr>
      <w:r>
        <w:rPr>
          <w:rFonts w:ascii="Arial" w:cs="Arial" w:eastAsia="Arial" w:hAnsi="Arial"/>
          <w:b/>
          <w:bCs/>
          <w:color w:val="C00000"/>
          <w:sz w:val="22"/>
          <w:szCs w:val="22"/>
        </w:rPr>
        <w:t xml:space="preserve">Para a operação cooperativa: as cooperativas devem destacar IBS e CBS desde já, mesmo nos atos cooperativos. A LC 214/2025 abre uma alíquota zero opcional para o ato cooperativo (art. 271), mas a opção formal pelo regime específico das cooperativas só passa a ter eficácia plena em 2027. Em 2026, a cooperativa registra os atos com as alíquotas-teste e prepara a estrutura para a opção formal a partir de 2027.</w:t>
      </w:r>
    </w:p>
    <w:p>
      <w:pPr>
        <w:pStyle w:val="Heading2"/>
        <w:spacing w:after="160" w:before="240"/>
      </w:pPr>
      <w:r>
        <w:rPr>
          <w:rFonts w:ascii="Arial" w:cs="Arial" w:eastAsia="Arial" w:hAnsi="Arial"/>
          <w:b/>
          <w:bCs/>
          <w:color w:val="305496"/>
          <w:sz w:val="26"/>
          <w:szCs w:val="26"/>
        </w:rPr>
        <w:t xml:space="preserve">2027 — CBS plena, fim do PIS e da COFINS, IPI a 0%, Imposto Seletivo entra em vigor</w:t>
      </w:r>
    </w:p>
    <w:p>
      <w:pPr>
        <w:spacing w:after="100" w:before="0"/>
      </w:pPr>
      <w:r>
        <w:rPr>
          <w:rFonts w:ascii="Arial" w:cs="Arial" w:eastAsia="Arial" w:hAnsi="Arial"/>
          <w:sz w:val="22"/>
          <w:szCs w:val="22"/>
        </w:rPr>
        <w:t xml:space="preserve">1º de janeiro de 2027 marca a primeira ruptura efetiva. Acontecem cinco mudanças simultâneas:</w:t>
      </w:r>
    </w:p>
    <w:p>
      <w:pPr>
        <w:pStyle w:val="ListParagraph"/>
        <w:numPr>
          <w:ilvl w:val="0"/>
          <w:numId w:val="3"/>
        </w:numPr>
        <w:spacing w:after="80"/>
      </w:pPr>
      <w:r>
        <w:rPr>
          <w:rFonts w:ascii="Arial" w:cs="Arial" w:eastAsia="Arial" w:hAnsi="Arial"/>
          <w:sz w:val="22"/>
          <w:szCs w:val="22"/>
        </w:rPr>
        <w:t xml:space="preserve">Extinção do PIS e da COFINS. A CBS entra em alíquota cheia (estimativa em torno de 8,8% a 9,2%, a ser confirmada no calibrador de alíquota a ser publicado pela Receita Federal).</w:t>
      </w:r>
    </w:p>
    <w:p>
      <w:pPr>
        <w:pStyle w:val="ListParagraph"/>
        <w:numPr>
          <w:ilvl w:val="0"/>
          <w:numId w:val="3"/>
        </w:numPr>
        <w:spacing w:after="80"/>
      </w:pPr>
      <w:r>
        <w:rPr>
          <w:rFonts w:ascii="Arial" w:cs="Arial" w:eastAsia="Arial" w:hAnsi="Arial"/>
          <w:sz w:val="22"/>
          <w:szCs w:val="22"/>
        </w:rPr>
        <w:t xml:space="preserve">Redução a zero das alíquotas do IPI, exceto para produtos que concorrem com a Zona Franca de Manaus.</w:t>
      </w:r>
    </w:p>
    <w:p>
      <w:pPr>
        <w:pStyle w:val="ListParagraph"/>
        <w:numPr>
          <w:ilvl w:val="0"/>
          <w:numId w:val="3"/>
        </w:numPr>
        <w:spacing w:after="80"/>
      </w:pPr>
      <w:r>
        <w:rPr>
          <w:rFonts w:ascii="Arial" w:cs="Arial" w:eastAsia="Arial" w:hAnsi="Arial"/>
          <w:sz w:val="22"/>
          <w:szCs w:val="22"/>
        </w:rPr>
        <w:t xml:space="preserve">Entrada em vigor do Imposto Seletivo (IS) sobre bens e serviços prejudiciais à saúde ou ao meio ambiente — cigarros, bebidas alcoólicas, veículos, embarcações, aeronaves, e alguns produtos minerais. Biodiesel e óleo de soja NÃO são alcançados pelo IS.</w:t>
      </w:r>
    </w:p>
    <w:p>
      <w:pPr>
        <w:pStyle w:val="ListParagraph"/>
        <w:numPr>
          <w:ilvl w:val="0"/>
          <w:numId w:val="3"/>
        </w:numPr>
        <w:spacing w:after="80"/>
      </w:pPr>
      <w:r>
        <w:rPr>
          <w:rFonts w:ascii="Arial" w:cs="Arial" w:eastAsia="Arial" w:hAnsi="Arial"/>
          <w:sz w:val="22"/>
          <w:szCs w:val="22"/>
        </w:rPr>
        <w:t xml:space="preserve">IBS continua em alíquota teste (0,1%), agora já recolhido (não mais simbólico) — primeiro impacto real do IBS.</w:t>
      </w:r>
    </w:p>
    <w:p>
      <w:pPr>
        <w:pStyle w:val="ListParagraph"/>
        <w:numPr>
          <w:ilvl w:val="0"/>
          <w:numId w:val="3"/>
        </w:numPr>
        <w:spacing w:after="80"/>
      </w:pPr>
      <w:r>
        <w:rPr>
          <w:rFonts w:ascii="Arial" w:cs="Arial" w:eastAsia="Arial" w:hAnsi="Arial"/>
          <w:sz w:val="22"/>
          <w:szCs w:val="22"/>
        </w:rPr>
        <w:t xml:space="preserve">Entrada em operação do Split Payment, mecanismo que separa automaticamente o tributo do valor pago em transações eletrônicas (cartão, Pix, boleto), direcionando a parte tributária diretamente aos cofres públicos. Mudança radical no fluxo de caixa.</w:t>
      </w:r>
    </w:p>
    <w:p>
      <w:pPr>
        <w:spacing w:after="100" w:before="0"/>
      </w:pPr>
      <w:r>
        <w:rPr>
          <w:rFonts w:ascii="Arial" w:cs="Arial" w:eastAsia="Arial" w:hAnsi="Arial"/>
          <w:sz w:val="22"/>
          <w:szCs w:val="22"/>
        </w:rPr>
        <w:t xml:space="preserve">Para o ato cooperativo: a partir de 2027 a cooperativa pode formalmente OPTAR pelo regime específico do art. 271 da LC 214/2025, que torna a operação cooperativa-cooperado isenta de CBS (alíquota zero). Como o IBS ainda está em 0,1%, o efeito prático é pequeno em 2027, mas a opção precisa ser feita para garantir o regime nos anos subsequentes.</w:t>
      </w:r>
    </w:p>
    <w:p>
      <w:pPr>
        <w:pStyle w:val="Heading2"/>
        <w:spacing w:after="160" w:before="240"/>
      </w:pPr>
      <w:r>
        <w:rPr>
          <w:rFonts w:ascii="Arial" w:cs="Arial" w:eastAsia="Arial" w:hAnsi="Arial"/>
          <w:b/>
          <w:bCs/>
          <w:color w:val="305496"/>
          <w:sz w:val="26"/>
          <w:szCs w:val="26"/>
        </w:rPr>
        <w:t xml:space="preserve">2028 — Consolidação da CBS, ICMS/ISS ainda inteiros</w:t>
      </w:r>
    </w:p>
    <w:p>
      <w:pPr>
        <w:spacing w:after="100" w:before="0"/>
      </w:pPr>
      <w:r>
        <w:rPr>
          <w:rFonts w:ascii="Arial" w:cs="Arial" w:eastAsia="Arial" w:hAnsi="Arial"/>
          <w:sz w:val="22"/>
          <w:szCs w:val="22"/>
        </w:rPr>
        <w:t xml:space="preserve">Ano de consolidação. CBS e Split Payment já em regime normal, com possibilidade de ajustes nas alíquotas se a arrecadação ficar abaixo do projetado pelo governo federal. ICMS e ISS continuam vigentes integralmente — nenhuma redução ainda. IBS continua em 0,1%.</w:t>
      </w:r>
    </w:p>
    <w:p>
      <w:pPr>
        <w:shd w:fill="FFF2CC" w:val="clear"/>
        <w:spacing w:after="120" w:before="120"/>
      </w:pPr>
      <w:r>
        <w:rPr>
          <w:rFonts w:ascii="Arial" w:cs="Arial" w:eastAsia="Arial" w:hAnsi="Arial"/>
          <w:b/>
          <w:bCs/>
          <w:color w:val="C00000"/>
          <w:sz w:val="22"/>
          <w:szCs w:val="22"/>
        </w:rPr>
        <w:t xml:space="preserve">Em 2028, a cooperativa que NÃO formalizou a opção pelo regime específico em 2027 ainda pode fazer isso. Mas atenção: em 2029 o IBS começa a subir, e quem não estiver com a opção formalizada perde o benefício do art. 271 já no primeiro ano de IBS efetivo.</w:t>
      </w:r>
    </w:p>
    <w:p>
      <w:pPr>
        <w:pStyle w:val="Heading2"/>
        <w:spacing w:after="160" w:before="240"/>
      </w:pPr>
      <w:r>
        <w:rPr>
          <w:rFonts w:ascii="Arial" w:cs="Arial" w:eastAsia="Arial" w:hAnsi="Arial"/>
          <w:b/>
          <w:bCs/>
          <w:color w:val="305496"/>
          <w:sz w:val="26"/>
          <w:szCs w:val="26"/>
        </w:rPr>
        <w:t xml:space="preserve">2029-2032 — Substituição gradual de ICMS e ISS pelo IBS</w:t>
      </w:r>
    </w:p>
    <w:p>
      <w:pPr>
        <w:spacing w:after="100" w:before="0"/>
      </w:pPr>
      <w:r>
        <w:rPr>
          <w:rFonts w:ascii="Arial" w:cs="Arial" w:eastAsia="Arial" w:hAnsi="Arial"/>
          <w:sz w:val="22"/>
          <w:szCs w:val="22"/>
        </w:rPr>
        <w:t xml:space="preserve">Esta é a fase mais longa e operacionalmente desafiadora da reforma. As alíquotas de ICMS e ISS são reduzidas progressivamente, enquanto a alíquota efetiva do IBS aumenta na mesma proporção. O cronograma anual é o seguinte (percentuais sobre as alíquotas vigentes em 2025):</w:t>
      </w:r>
    </w:p>
    <w:p>
      <w:pPr>
        <w:pStyle w:val="ListParagraph"/>
        <w:numPr>
          <w:ilvl w:val="0"/>
          <w:numId w:val="2"/>
        </w:numPr>
        <w:spacing w:after="80"/>
      </w:pPr>
      <w:r>
        <w:rPr>
          <w:rFonts w:ascii="Arial" w:cs="Arial" w:eastAsia="Arial" w:hAnsi="Arial"/>
          <w:sz w:val="22"/>
          <w:szCs w:val="22"/>
        </w:rPr>
        <w:t xml:space="preserve">2029: ICMS e ISS a 90% / IBS substituindo 10%;</w:t>
      </w:r>
    </w:p>
    <w:p>
      <w:pPr>
        <w:pStyle w:val="ListParagraph"/>
        <w:numPr>
          <w:ilvl w:val="0"/>
          <w:numId w:val="2"/>
        </w:numPr>
        <w:spacing w:after="80"/>
      </w:pPr>
      <w:r>
        <w:rPr>
          <w:rFonts w:ascii="Arial" w:cs="Arial" w:eastAsia="Arial" w:hAnsi="Arial"/>
          <w:sz w:val="22"/>
          <w:szCs w:val="22"/>
        </w:rPr>
        <w:t xml:space="preserve">2030: ICMS e ISS a 80% / IBS substituindo 20%;</w:t>
      </w:r>
    </w:p>
    <w:p>
      <w:pPr>
        <w:pStyle w:val="ListParagraph"/>
        <w:numPr>
          <w:ilvl w:val="0"/>
          <w:numId w:val="2"/>
        </w:numPr>
        <w:spacing w:after="80"/>
      </w:pPr>
      <w:r>
        <w:rPr>
          <w:rFonts w:ascii="Arial" w:cs="Arial" w:eastAsia="Arial" w:hAnsi="Arial"/>
          <w:sz w:val="22"/>
          <w:szCs w:val="22"/>
        </w:rPr>
        <w:t xml:space="preserve">2031: ICMS e ISS a 70% / IBS substituindo 30%;</w:t>
      </w:r>
    </w:p>
    <w:p>
      <w:pPr>
        <w:pStyle w:val="ListParagraph"/>
        <w:numPr>
          <w:ilvl w:val="0"/>
          <w:numId w:val="2"/>
        </w:numPr>
        <w:spacing w:after="80"/>
      </w:pPr>
      <w:r>
        <w:rPr>
          <w:rFonts w:ascii="Arial" w:cs="Arial" w:eastAsia="Arial" w:hAnsi="Arial"/>
          <w:sz w:val="22"/>
          <w:szCs w:val="22"/>
        </w:rPr>
        <w:t xml:space="preserve">2032: ICMS e ISS a 60% / IBS substituindo 40%.</w:t>
      </w:r>
    </w:p>
    <w:p>
      <w:pPr>
        <w:spacing w:after="100" w:before="0"/>
      </w:pPr>
      <w:r>
        <w:rPr>
          <w:rFonts w:ascii="Arial" w:cs="Arial" w:eastAsia="Arial" w:hAnsi="Arial"/>
          <w:sz w:val="22"/>
          <w:szCs w:val="22"/>
        </w:rPr>
        <w:t xml:space="preserve">A cooperativa que tiver formalizado a opção pelo regime específico do art. 271 mantém alíquota zero de IBS sobre os atos cooperativos em todo este período, enquanto paga ICMS reduzido no período de transição. Isso significa que o BENEFÍCIO TRIBUTÁRIO DO ATO COOPERADO COMEÇA A APARECER MATERIALMENTE EM 2029, cresce em 2030, 2031, 2032 e atinge o pico em 2033.</w:t>
      </w:r>
    </w:p>
    <w:p>
      <w:pPr>
        <w:pStyle w:val="Heading2"/>
        <w:spacing w:after="160" w:before="240"/>
      </w:pPr>
      <w:r>
        <w:rPr>
          <w:rFonts w:ascii="Arial" w:cs="Arial" w:eastAsia="Arial" w:hAnsi="Arial"/>
          <w:b/>
          <w:bCs/>
          <w:color w:val="305496"/>
          <w:sz w:val="26"/>
          <w:szCs w:val="26"/>
        </w:rPr>
        <w:t xml:space="preserve">2033 — Plena vigência do novo sistema</w:t>
      </w:r>
    </w:p>
    <w:p>
      <w:pPr>
        <w:spacing w:after="100" w:before="0"/>
      </w:pPr>
      <w:r>
        <w:rPr>
          <w:rFonts w:ascii="Arial" w:cs="Arial" w:eastAsia="Arial" w:hAnsi="Arial"/>
          <w:sz w:val="22"/>
          <w:szCs w:val="22"/>
        </w:rPr>
        <w:t xml:space="preserve">Em 1º de janeiro de 2033 o sistema antigo é integralmente extinto:</w:t>
      </w:r>
    </w:p>
    <w:p>
      <w:pPr>
        <w:pStyle w:val="ListParagraph"/>
        <w:numPr>
          <w:ilvl w:val="0"/>
          <w:numId w:val="2"/>
        </w:numPr>
        <w:spacing w:after="80"/>
      </w:pPr>
      <w:r>
        <w:rPr>
          <w:rFonts w:ascii="Arial" w:cs="Arial" w:eastAsia="Arial" w:hAnsi="Arial"/>
          <w:sz w:val="22"/>
          <w:szCs w:val="22"/>
        </w:rPr>
        <w:t xml:space="preserve">Fim do ICMS e do ISS. Apenas o IBS resta para tributação sobre bens e serviços nos âmbitos estadual e municipal.</w:t>
      </w:r>
    </w:p>
    <w:p>
      <w:pPr>
        <w:pStyle w:val="ListParagraph"/>
        <w:numPr>
          <w:ilvl w:val="0"/>
          <w:numId w:val="2"/>
        </w:numPr>
        <w:spacing w:after="80"/>
      </w:pPr>
      <w:r>
        <w:rPr>
          <w:rFonts w:ascii="Arial" w:cs="Arial" w:eastAsia="Arial" w:hAnsi="Arial"/>
          <w:sz w:val="22"/>
          <w:szCs w:val="22"/>
        </w:rPr>
        <w:t xml:space="preserve">IBS atinge 100% da alíquota nominal (estimada em torno de 17% a 18%, calibrada para que a soma IBS+CBS fique em torno de 26-28%, conforme determinou a EC 132/2023).</w:t>
      </w:r>
    </w:p>
    <w:p>
      <w:pPr>
        <w:pStyle w:val="ListParagraph"/>
        <w:numPr>
          <w:ilvl w:val="0"/>
          <w:numId w:val="2"/>
        </w:numPr>
        <w:spacing w:after="80"/>
      </w:pPr>
      <w:r>
        <w:rPr>
          <w:rFonts w:ascii="Arial" w:cs="Arial" w:eastAsia="Arial" w:hAnsi="Arial"/>
          <w:sz w:val="22"/>
          <w:szCs w:val="22"/>
        </w:rPr>
        <w:t xml:space="preserve">Cooperativas optantes do regime específico: alíquota ZERO de IBS+CBS sobre atos cooperativos, com transferência integral de créditos para o adquirente (Oleoplan, no caso). Esta é a configuração-fim que a Brat deve mirar como horizonte estratégico.</w:t>
      </w:r>
    </w:p>
    <w:p>
      <w:pPr>
        <w:pStyle w:val="ListParagraph"/>
        <w:numPr>
          <w:ilvl w:val="0"/>
          <w:numId w:val="2"/>
        </w:numPr>
        <w:spacing w:after="80"/>
      </w:pPr>
      <w:r>
        <w:rPr>
          <w:rFonts w:ascii="Arial" w:cs="Arial" w:eastAsia="Arial" w:hAnsi="Arial"/>
          <w:sz w:val="22"/>
          <w:szCs w:val="22"/>
        </w:rPr>
        <w:t xml:space="preserve">Insumos agropecuários listados no Anexo IX da LC 214/2025: alíquota com redução de 60% sobre a alíquota geral, aplicável a fertilizantes, defensivos, sementes, e insumos da soja, palma, mamona, pesca e silvicultura.</w:t>
      </w:r>
    </w:p>
    <w:p>
      <w:pPr>
        <w:pStyle w:val="ListParagraph"/>
        <w:numPr>
          <w:ilvl w:val="0"/>
          <w:numId w:val="2"/>
        </w:numPr>
        <w:spacing w:after="80"/>
      </w:pPr>
      <w:r>
        <w:rPr>
          <w:rFonts w:ascii="Arial" w:cs="Arial" w:eastAsia="Arial" w:hAnsi="Arial"/>
          <w:sz w:val="22"/>
          <w:szCs w:val="22"/>
        </w:rPr>
        <w:t xml:space="preserve">Regime de tributação no destino: o tributo é arrecadado no município/estado onde o bem é consumido, mudança fundamental para o farelo de soja exportado e para o biodiesel distribuído em todo o Nordeste.</w:t>
      </w:r>
    </w:p>
    <w:p>
      <w:pPr>
        <w:pStyle w:val="Heading2"/>
        <w:spacing w:after="160" w:before="240"/>
      </w:pPr>
      <w:r>
        <w:rPr>
          <w:rFonts w:ascii="Arial" w:cs="Arial" w:eastAsia="Arial" w:hAnsi="Arial"/>
          <w:b/>
          <w:bCs/>
          <w:color w:val="305496"/>
          <w:sz w:val="26"/>
          <w:szCs w:val="26"/>
        </w:rPr>
        <w:t xml:space="preserve">Resumo gráfico-numérico (parametrização para a Brat)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700"/>
        <w:gridCol w:w="1700"/>
        <w:gridCol w:w="1760"/>
      </w:tblGrid>
      <w:tr>
        <w:trPr>
          <w:tblHeader/>
        </w:trPr>
        <w:tc>
          <w:tcPr>
            <w:tcW w:type="dxa" w:w="8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Ano</w:t>
            </w:r>
          </w:p>
        </w:tc>
        <w:tc>
          <w:tcPr>
            <w:tcW w:type="dxa" w:w="17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PIS+COFINS</w:t>
            </w:r>
          </w:p>
        </w:tc>
        <w:tc>
          <w:tcPr>
            <w:tcW w:type="dxa" w:w="17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CBS</w:t>
            </w:r>
          </w:p>
        </w:tc>
        <w:tc>
          <w:tcPr>
            <w:tcW w:type="dxa" w:w="17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ICMS+ISS</w:t>
            </w:r>
          </w:p>
        </w:tc>
        <w:tc>
          <w:tcPr>
            <w:tcW w:type="dxa" w:w="17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IBS</w:t>
            </w:r>
          </w:p>
        </w:tc>
        <w:tc>
          <w:tcPr>
            <w:tcW w:type="dxa" w:w="176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vAlign w:val="top"/>
          </w:tcPr>
          <w:p>
            <w:r>
              <w:rPr>
                <w:rFonts w:ascii="Arial" w:cs="Arial" w:eastAsia="Arial" w:hAnsi="Arial"/>
                <w:b/>
                <w:bCs/>
                <w:color w:val="FFFFFF"/>
                <w:sz w:val="20"/>
                <w:szCs w:val="20"/>
              </w:rPr>
              <w:t xml:space="preserve">Cooperativa (regime art.271)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Vigentes 100%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0,9% (teste, devolvido)</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Vigentes 100%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 (teste, devolvido)</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Não há benefício efetivo ainda; preparar adesão</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2027</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 (~8,8-9,2%)</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Vigentes 100%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 (recolhido)</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Opção pelo art. 271: alíquota ZERO de CBS no ato cooperado</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2028</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Vigentes 100%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0,1%</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Mantém zero CBS; ICMS continua na operação não-cooperada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2029</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90% da carga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 da carga IBS</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Zero CBS+IBS no ato cooperado: economia REAL começa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2030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Economia cooperativa cresce</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2031</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Economia cresce</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2032</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Economia cresce</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2033</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EXTINTOS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Cheia (~17-18%)</w:t>
            </w:r>
          </w:p>
        </w:tc>
        <w:tc>
          <w:tcPr>
            <w:tcW w:type="dxa" w:w="1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PICO da economia: zero IBS+CBS sobre todo o ato cooperado</w:t>
            </w:r>
          </w:p>
        </w:tc>
      </w:tr>
    </w:tbl>
    <w:p>
      <w:pPr>
        <w:spacing w:after="100" w:before="0"/>
      </w:pPr>
      <w:r>
        <w:rPr>
          <w:rFonts w:ascii="Arial" w:cs="Arial" w:eastAsia="Arial" w:hAnsi="Arial"/>
          <w:sz w:val="22"/>
          <w:szCs w:val="22"/>
        </w:rPr>
        <w:t xml:space="preserve"/>
      </w:r>
    </w:p>
    <w:p>
      <w:pPr>
        <w:spacing w:after="100" w:before="0"/>
      </w:pPr>
      <w:r>
        <w:rPr>
          <w:rFonts w:ascii="Arial" w:cs="Arial" w:eastAsia="Arial" w:hAnsi="Arial"/>
          <w:sz w:val="22"/>
          <w:szCs w:val="22"/>
        </w:rPr>
        <w:t xml:space="preserve">Implicação estratégica para a Brat: a tese cooperativa começa a gerar economia REAL em 2029 (quando o IBS sai da fase de teste e atinge 10% da carga futura). Antes disso, o ganho é principalmente no PIS/COFINS via exclusões da MP 2158-35/2001 (que continua em vigor até 31/12/2026) e no IRPJ/CSLL via art. 87 e 111 da Lei 5.764/71 (que permanece em vigor para sempre).</w:t>
      </w:r>
    </w:p>
    <w:p>
      <w:pPr>
        <w:spacing w:after="100" w:before="0"/>
      </w:pPr>
      <w:r>
        <w:rPr>
          <w:rFonts w:ascii="Arial" w:cs="Arial" w:eastAsia="Arial" w:hAnsi="Arial"/>
          <w:sz w:val="22"/>
          <w:szCs w:val="22"/>
        </w:rPr>
        <w:t xml:space="preserve">Ou seja: em 2026, 70% da economia tributária já é real (lado federal); em 2029, sobe para ~85% (federal + parte do IBS); em 2033 chega aos 100% (todo o sistema unificado favorável).</w:t>
      </w:r>
    </w:p>
    <w:p>
      <w:r>
        <w:br w:type="page"/>
      </w:r>
    </w:p>
    <w:p>
      <w:pPr>
        <w:pStyle w:val="Heading1"/>
        <w:spacing w:after="200" w:before="360"/>
      </w:pPr>
      <w:r>
        <w:rPr>
          <w:rFonts w:ascii="Arial" w:cs="Arial" w:eastAsia="Arial" w:hAnsi="Arial"/>
          <w:b/>
          <w:bCs/>
          <w:color w:val="2F75B5"/>
          <w:sz w:val="32"/>
          <w:szCs w:val="32"/>
        </w:rPr>
        <w:t xml:space="preserve">PARTE 2 — O REGIME ESPECÍFICO DAS COOPERATIVAS NA LC 214/2025: ARTS. 271 E 272</w:t>
      </w:r>
    </w:p>
    <w:p>
      <w:pPr>
        <w:spacing w:after="100" w:before="0"/>
      </w:pPr>
      <w:r>
        <w:rPr>
          <w:rFonts w:ascii="Arial" w:cs="Arial" w:eastAsia="Arial" w:hAnsi="Arial"/>
          <w:sz w:val="22"/>
          <w:szCs w:val="22"/>
        </w:rPr>
        <w:t xml:space="preserve">A LC 214/2025 dedicou um capítulo específico às sociedades cooperativas (arts. 271 e 272) cumprindo o mandamento constitucional do art. 146-A da Constituição Federal, alterado pela EC 132/2023, que determinou tratamento tributário diferenciado às cooperativas.</w:t>
      </w:r>
    </w:p>
    <w:p>
      <w:pPr>
        <w:pStyle w:val="Heading2"/>
        <w:spacing w:after="160" w:before="240"/>
      </w:pPr>
      <w:r>
        <w:rPr>
          <w:rFonts w:ascii="Arial" w:cs="Arial" w:eastAsia="Arial" w:hAnsi="Arial"/>
          <w:b/>
          <w:bCs/>
          <w:color w:val="305496"/>
          <w:sz w:val="26"/>
          <w:szCs w:val="26"/>
        </w:rPr>
        <w:t xml:space="preserve">Art. 271 — A alíquota zero do ato cooperado</w:t>
      </w:r>
    </w:p>
    <w:p>
      <w:pPr>
        <w:spacing w:after="100" w:before="0"/>
      </w:pPr>
      <w:r>
        <w:rPr>
          <w:rFonts w:ascii="Arial" w:cs="Arial" w:eastAsia="Arial" w:hAnsi="Arial"/>
          <w:sz w:val="22"/>
          <w:szCs w:val="22"/>
        </w:rPr>
        <w:t xml:space="preserve">O art. 271 da LC 214/2025 institui um REGIME ESPECÍFICO E OPCIONAL pelo qual as operações entre cooperativa e cooperado são tributadas à alíquota ZERO de IBS e CBS. A literalidade do dispositivo:</w:t>
      </w:r>
    </w:p>
    <w:p>
      <w:pPr>
        <w:pBdr>
          <w:left w:val="single" w:color="548235" w:sz="12" w:space="8"/>
        </w:pBdr>
        <w:spacing w:after="120" w:before="120"/>
        <w:ind w:left="720"/>
      </w:pPr>
      <w:r>
        <w:rPr>
          <w:rFonts w:ascii="Arial" w:cs="Arial" w:eastAsia="Arial" w:hAnsi="Arial"/>
          <w:i/>
          <w:iCs/>
          <w:color w:val="595959"/>
          <w:sz w:val="20"/>
          <w:szCs w:val="20"/>
        </w:rPr>
        <w:t xml:space="preserve">"As operações entre as sociedades cooperativas e seus associados, e entre cooperativas filiadas a uma cooperativa central, serão tributadas à alíquota zero de IBS e CBS, observado o disposto neste artigo." (LC 214/2025, art. 271, caput)</w:t>
      </w:r>
    </w:p>
    <w:p>
      <w:pPr>
        <w:spacing w:after="100" w:before="0"/>
      </w:pPr>
      <w:r>
        <w:rPr>
          <w:rFonts w:ascii="Arial" w:cs="Arial" w:eastAsia="Arial" w:hAnsi="Arial"/>
          <w:sz w:val="22"/>
          <w:szCs w:val="22"/>
        </w:rPr>
        <w:t xml:space="preserve">A alíquota zero vale para fornecimento de bens ou serviços EM AMBAS AS DIREÇÕES:</w:t>
      </w:r>
    </w:p>
    <w:p>
      <w:pPr>
        <w:pStyle w:val="ListParagraph"/>
        <w:numPr>
          <w:ilvl w:val="0"/>
          <w:numId w:val="3"/>
        </w:numPr>
        <w:spacing w:after="80"/>
      </w:pPr>
      <w:r>
        <w:rPr>
          <w:rFonts w:ascii="Arial" w:cs="Arial" w:eastAsia="Arial" w:hAnsi="Arial"/>
          <w:sz w:val="22"/>
          <w:szCs w:val="22"/>
        </w:rPr>
        <w:t xml:space="preserve">Inciso I: o associado fornece bens ou serviços à cooperativa. Exemplo prático: produtor florestal associado entrega lenha para a Brat Agro Florestal — operação tem alíquota zero de IBS e CBS.</w:t>
      </w:r>
    </w:p>
    <w:p>
      <w:pPr>
        <w:pStyle w:val="ListParagraph"/>
        <w:numPr>
          <w:ilvl w:val="0"/>
          <w:numId w:val="3"/>
        </w:numPr>
        <w:spacing w:after="80"/>
      </w:pPr>
      <w:r>
        <w:rPr>
          <w:rFonts w:ascii="Arial" w:cs="Arial" w:eastAsia="Arial" w:hAnsi="Arial"/>
          <w:sz w:val="22"/>
          <w:szCs w:val="22"/>
        </w:rPr>
        <w:t xml:space="preserve">Inciso II: a cooperativa fornece bens ou serviços ao associado, desde que este esteja sujeito ao regime regular do IBS/CBS. Exemplo: a Brat Agro fornece sementes ou defensivos comprados em escala aos cooperados produtores rurais.</w:t>
      </w:r>
    </w:p>
    <w:p>
      <w:pPr>
        <w:spacing w:after="100" w:before="0"/>
      </w:pPr>
      <w:r>
        <w:rPr>
          <w:rFonts w:ascii="Arial" w:cs="Arial" w:eastAsia="Arial" w:hAnsi="Arial"/>
          <w:sz w:val="22"/>
          <w:szCs w:val="22"/>
        </w:rPr>
        <w:t xml:space="preserve">A alíquota zero também se estende aos atos intercooperativos (entre cooperativas filiadas a uma cooperativa central, a federações e a confederações, conforme arts. 6 a 8 da Lei 5.764/1971). Bancos cooperativos têm regramento próprio nos arts. 188 e seguintes da LC 214/2025.</w:t>
      </w:r>
    </w:p>
    <w:p>
      <w:pPr>
        <w:shd w:fill="FFF2CC" w:val="clear"/>
        <w:spacing w:after="120" w:before="120"/>
      </w:pPr>
      <w:r>
        <w:rPr>
          <w:rFonts w:ascii="Arial" w:cs="Arial" w:eastAsia="Arial" w:hAnsi="Arial"/>
          <w:b/>
          <w:bCs/>
          <w:color w:val="C00000"/>
          <w:sz w:val="22"/>
          <w:szCs w:val="22"/>
        </w:rPr>
        <w:t xml:space="preserve">A opção é IRRETRATÁVEL POR UM ANO-CALENDÁRIO completo. Uma vez optada, a cooperativa só pode sair do regime no ano-calendário seguinte, com efeitos a partir de 1º de janeiro do ano subsequente. A formalização se dá em ato a ser regulamentado pelo Comitê Gestor do IBS e pela Receita Federal — até maio de 2026 essa regulamentação infralegal ainda está sendo consolidada via Resolução CGIBS 6/2026 e Decreto 12.955/2026. A Brat deve acompanhar quinzenalmente.</w:t>
      </w:r>
    </w:p>
    <w:p>
      <w:pPr>
        <w:pStyle w:val="Heading2"/>
        <w:spacing w:after="160" w:before="240"/>
      </w:pPr>
      <w:r>
        <w:rPr>
          <w:rFonts w:ascii="Arial" w:cs="Arial" w:eastAsia="Arial" w:hAnsi="Arial"/>
          <w:b/>
          <w:bCs/>
          <w:color w:val="305496"/>
          <w:sz w:val="26"/>
          <w:szCs w:val="26"/>
        </w:rPr>
        <w:t xml:space="preserve">Art. 272 — Transferência de créditos do associado para a cooperativa</w:t>
      </w:r>
    </w:p>
    <w:p>
      <w:pPr>
        <w:spacing w:after="100" w:before="0"/>
      </w:pPr>
      <w:r>
        <w:rPr>
          <w:rFonts w:ascii="Arial" w:cs="Arial" w:eastAsia="Arial" w:hAnsi="Arial"/>
          <w:sz w:val="22"/>
          <w:szCs w:val="22"/>
        </w:rPr>
        <w:t xml:space="preserve">O art. 272 institui um mecanismo crítico para preservar a não-cumulatividade plena: o associado pode TRANSFERIR à cooperativa os créditos de IBS e CBS gerados em suas aquisições anteriores. A literalidade:</w:t>
      </w:r>
    </w:p>
    <w:p>
      <w:pPr>
        <w:pBdr>
          <w:left w:val="single" w:color="548235" w:sz="12" w:space="8"/>
        </w:pBdr>
        <w:spacing w:after="120" w:before="120"/>
        <w:ind w:left="720"/>
      </w:pPr>
      <w:r>
        <w:rPr>
          <w:rFonts w:ascii="Arial" w:cs="Arial" w:eastAsia="Arial" w:hAnsi="Arial"/>
          <w:i/>
          <w:iCs/>
          <w:color w:val="595959"/>
          <w:sz w:val="20"/>
          <w:szCs w:val="20"/>
        </w:rPr>
        <w:t xml:space="preserve">"O associado de cooperativa optante pelo regime do art. 271 poderá transferir os créditos das operações antecedentes às operações em que fornece bens e serviços e os créditos presumidos à cooperativa de que participa, não se aplicando o disposto no art. 55 desta Lei Complementar." (LC 214/2025, art. 272, caput)</w:t>
      </w:r>
    </w:p>
    <w:p>
      <w:pPr>
        <w:spacing w:after="100" w:before="0"/>
      </w:pPr>
      <w:r>
        <w:rPr>
          <w:rFonts w:ascii="Arial" w:cs="Arial" w:eastAsia="Arial" w:hAnsi="Arial"/>
          <w:sz w:val="22"/>
          <w:szCs w:val="22"/>
        </w:rPr>
        <w:t xml:space="preserve">Tradução prática: o produtor associado, quando entrega lenha à Brat Agro, transfere para a cooperativa os créditos de IBS/CBS que ele gerou ao comprar combustível, máquinas, manutenção, etc. A Brat Agro acumula esses créditos e pode aproveitá-los na saída para a Oleoplan (operação não-cooperada, com tributação normal). Resultado: o tributo devido na ponta final fica reduzido pelos créditos transferidos pelo associado.</w:t>
      </w:r>
    </w:p>
    <w:p>
      <w:pPr>
        <w:spacing w:after="100" w:before="0"/>
      </w:pPr>
      <w:r>
        <w:rPr>
          <w:rFonts w:ascii="Arial" w:cs="Arial" w:eastAsia="Arial" w:hAnsi="Arial"/>
          <w:sz w:val="22"/>
          <w:szCs w:val="22"/>
        </w:rPr>
        <w:t xml:space="preserve">Esta é uma das maiores diferenças entre o sistema antigo e o novo. No sistema antigo (PIS/COFINS), a cooperativa só podia usar os próprios créditos. No novo sistema, a cooperativa atua como "ponto de consolidação dos créditos" de toda a cadeia anterior. Para a Oleoplan, isso significa que comprar via Brat tem MENOS imposto embutido que comprar de fornecedor mercantil.</w:t>
      </w:r>
    </w:p>
    <w:p>
      <w:pPr>
        <w:pStyle w:val="Heading2"/>
        <w:spacing w:after="160" w:before="240"/>
      </w:pPr>
      <w:r>
        <w:rPr>
          <w:rFonts w:ascii="Arial" w:cs="Arial" w:eastAsia="Arial" w:hAnsi="Arial"/>
          <w:b/>
          <w:bCs/>
          <w:color w:val="305496"/>
          <w:sz w:val="26"/>
          <w:szCs w:val="26"/>
        </w:rPr>
        <w:t xml:space="preserve">Art. 51 — Anulação proporcional de créditos: o lado escuro</w:t>
      </w:r>
    </w:p>
    <w:p>
      <w:pPr>
        <w:spacing w:after="100" w:before="0"/>
      </w:pPr>
      <w:r>
        <w:rPr>
          <w:rFonts w:ascii="Arial" w:cs="Arial" w:eastAsia="Arial" w:hAnsi="Arial"/>
          <w:sz w:val="22"/>
          <w:szCs w:val="22"/>
        </w:rPr>
        <w:t xml:space="preserve">Há um efeito colateral importante. O art. 51 da LC 214/2025 determina que toda operação imune, isenta ou com alíquota zero gera ANULAÇÃO PROPORCIONAL DE CRÉDITOS DAS AQUISIÇÕES ANTECEDENTES vinculadas. Em outras palavras: a cooperativa optante pelo art. 271 não pode acumular créditos das suas próprias aquisições para usar na operação cooperada (que tem alíquota zero) — esses créditos precisam ser estornados.</w:t>
      </w:r>
    </w:p>
    <w:p>
      <w:pPr>
        <w:spacing w:after="100" w:before="0"/>
      </w:pPr>
      <w:r>
        <w:rPr>
          <w:rFonts w:ascii="Arial" w:cs="Arial" w:eastAsia="Arial" w:hAnsi="Arial"/>
          <w:sz w:val="22"/>
          <w:szCs w:val="22"/>
        </w:rPr>
        <w:t xml:space="preserve">Exemplo numérico simples para entender:</w:t>
      </w:r>
    </w:p>
    <w:p>
      <w:pPr>
        <w:pStyle w:val="ListParagraph"/>
        <w:numPr>
          <w:ilvl w:val="0"/>
          <w:numId w:val="2"/>
        </w:numPr>
        <w:spacing w:after="80"/>
      </w:pPr>
      <w:r>
        <w:rPr>
          <w:rFonts w:ascii="Arial" w:cs="Arial" w:eastAsia="Arial" w:hAnsi="Arial"/>
          <w:sz w:val="22"/>
          <w:szCs w:val="22"/>
        </w:rPr>
        <w:t xml:space="preserve">A Brat Agro compra R$ 100 mil em manutenção do hub de carregamento, com R$ 26 mil de IBS/CBS embutidos (créditos potenciais).</w:t>
      </w:r>
    </w:p>
    <w:p>
      <w:pPr>
        <w:pStyle w:val="ListParagraph"/>
        <w:numPr>
          <w:ilvl w:val="0"/>
          <w:numId w:val="2"/>
        </w:numPr>
        <w:spacing w:after="80"/>
      </w:pPr>
      <w:r>
        <w:rPr>
          <w:rFonts w:ascii="Arial" w:cs="Arial" w:eastAsia="Arial" w:hAnsi="Arial"/>
          <w:sz w:val="22"/>
          <w:szCs w:val="22"/>
        </w:rPr>
        <w:t xml:space="preserve">Desse total, 60% da operação da Brat Agro é ato cooperado (alíquota zero) e 40% é operação não-cooperada (tributação normal).</w:t>
      </w:r>
    </w:p>
    <w:p>
      <w:pPr>
        <w:pStyle w:val="ListParagraph"/>
        <w:numPr>
          <w:ilvl w:val="0"/>
          <w:numId w:val="2"/>
        </w:numPr>
        <w:spacing w:after="80"/>
      </w:pPr>
      <w:r>
        <w:rPr>
          <w:rFonts w:ascii="Arial" w:cs="Arial" w:eastAsia="Arial" w:hAnsi="Arial"/>
          <w:sz w:val="22"/>
          <w:szCs w:val="22"/>
        </w:rPr>
        <w:t xml:space="preserve">Então a Brat Agro só pode aproveitar 40% × R$ 26 mil = R$ 10,4 mil como crédito. Os R$ 15,6 mil restantes são estornados.</w:t>
      </w:r>
    </w:p>
    <w:p>
      <w:pPr>
        <w:spacing w:after="100" w:before="0"/>
      </w:pPr>
      <w:r>
        <w:rPr>
          <w:rFonts w:ascii="Arial" w:cs="Arial" w:eastAsia="Arial" w:hAnsi="Arial"/>
          <w:sz w:val="22"/>
          <w:szCs w:val="22"/>
        </w:rPr>
        <w:t xml:space="preserve">A cooperativa precisa, portanto, de um SISTEMA DE RATEIO DE CRÉDITOS por critério apropriado (proporcional ao faturamento ato cooperado vs. não-cooperado). Esse rateio é o ponto onde mais surgem disputas com o Fisco — já existem decisões do CARF (Acórdão 1401-002.071) anulando lançamentos por vício no critério de rateio.</w:t>
      </w:r>
    </w:p>
    <w:p>
      <w:pPr>
        <w:pStyle w:val="Heading2"/>
        <w:spacing w:after="160" w:before="240"/>
      </w:pPr>
      <w:r>
        <w:rPr>
          <w:rFonts w:ascii="Arial" w:cs="Arial" w:eastAsia="Arial" w:hAnsi="Arial"/>
          <w:b/>
          <w:bCs/>
          <w:color w:val="305496"/>
          <w:sz w:val="26"/>
          <w:szCs w:val="26"/>
        </w:rPr>
        <w:t xml:space="preserve">Art. 168, §9 — Crédito presumido para a cooperativa adquirir do produtor não-contribuinte</w:t>
      </w:r>
    </w:p>
    <w:p>
      <w:pPr>
        <w:spacing w:after="100" w:before="0"/>
      </w:pPr>
      <w:r>
        <w:rPr>
          <w:rFonts w:ascii="Arial" w:cs="Arial" w:eastAsia="Arial" w:hAnsi="Arial"/>
          <w:sz w:val="22"/>
          <w:szCs w:val="22"/>
        </w:rPr>
        <w:t xml:space="preserve">Quando a Brat Agro compra de um cooperado pessoa física rural que NÃO é contribuinte regular do IBS/CBS (por estar abaixo do limite de R$ 3,6 milhões/ano de receita ou por ser produtor integrado), a cooperativa pode apropriar um CRÉDITO PRESUMIDO de IBS/CBS, calculado com base na alíquota geral aplicada ao valor da aquisição. Esse crédito presumido funciona como mecanismo de neutralidade — evita que a tributação se concentre na cooperativa só porque o produtor original está fora do sistema.</w:t>
      </w:r>
    </w:p>
    <w:p>
      <w:pPr>
        <w:spacing w:after="100" w:before="0"/>
      </w:pPr>
      <w:r>
        <w:rPr>
          <w:rFonts w:ascii="Arial" w:cs="Arial" w:eastAsia="Arial" w:hAnsi="Arial"/>
          <w:sz w:val="22"/>
          <w:szCs w:val="22"/>
        </w:rPr>
        <w:t xml:space="preserve">Importante: a Lei Complementar veda o aproveitamento desse crédito presumido por cooperativa cujo associado seja optante pelo Simples Nacional. Cuide-se na hora de montar a base de cooperados.</w:t>
      </w:r>
    </w:p>
    <w:p>
      <w:pPr>
        <w:pStyle w:val="Heading2"/>
        <w:spacing w:after="160" w:before="240"/>
      </w:pPr>
      <w:r>
        <w:rPr>
          <w:rFonts w:ascii="Arial" w:cs="Arial" w:eastAsia="Arial" w:hAnsi="Arial"/>
          <w:b/>
          <w:bCs/>
          <w:color w:val="305496"/>
          <w:sz w:val="26"/>
          <w:szCs w:val="26"/>
        </w:rPr>
        <w:t xml:space="preserve">Quando NÃO vale a pena optar pelo regime do art. 271</w:t>
      </w:r>
    </w:p>
    <w:p>
      <w:pPr>
        <w:spacing w:after="100" w:before="0"/>
      </w:pPr>
      <w:r>
        <w:rPr>
          <w:rFonts w:ascii="Arial" w:cs="Arial" w:eastAsia="Arial" w:hAnsi="Arial"/>
          <w:sz w:val="22"/>
          <w:szCs w:val="22"/>
        </w:rPr>
        <w:t xml:space="preserve">A opção pelo regime específico nem sempre é favorável. Cenários em que o regime GERAL pode ser melhor:</w:t>
      </w:r>
    </w:p>
    <w:p>
      <w:pPr>
        <w:pStyle w:val="ListParagraph"/>
        <w:numPr>
          <w:ilvl w:val="0"/>
          <w:numId w:val="2"/>
        </w:numPr>
        <w:spacing w:after="80"/>
      </w:pPr>
      <w:r>
        <w:rPr>
          <w:rFonts w:ascii="Arial" w:cs="Arial" w:eastAsia="Arial" w:hAnsi="Arial"/>
          <w:sz w:val="22"/>
          <w:szCs w:val="22"/>
        </w:rPr>
        <w:t xml:space="preserve">Quando a cooperativa tem volume MUITO ALTO de operações com terceiros não-associados (acima de 30-40%) — a anulação proporcional de créditos do art. 51 destrói o benefício do art. 271.</w:t>
      </w:r>
    </w:p>
    <w:p>
      <w:pPr>
        <w:pStyle w:val="ListParagraph"/>
        <w:numPr>
          <w:ilvl w:val="0"/>
          <w:numId w:val="2"/>
        </w:numPr>
        <w:spacing w:after="80"/>
      </w:pPr>
      <w:r>
        <w:rPr>
          <w:rFonts w:ascii="Arial" w:cs="Arial" w:eastAsia="Arial" w:hAnsi="Arial"/>
          <w:sz w:val="22"/>
          <w:szCs w:val="22"/>
        </w:rPr>
        <w:t xml:space="preserve">Quando os associados operam predominantemente como contribuintes regulares de IBS/CBS já no regime normal — a transferência de créditos do art. 272 perde força porque eles já aproveitam os créditos no próprio CNPJ.</w:t>
      </w:r>
    </w:p>
    <w:p>
      <w:pPr>
        <w:pStyle w:val="ListParagraph"/>
        <w:numPr>
          <w:ilvl w:val="0"/>
          <w:numId w:val="2"/>
        </w:numPr>
        <w:spacing w:after="80"/>
      </w:pPr>
      <w:r>
        <w:rPr>
          <w:rFonts w:ascii="Arial" w:cs="Arial" w:eastAsia="Arial" w:hAnsi="Arial"/>
          <w:sz w:val="22"/>
          <w:szCs w:val="22"/>
        </w:rPr>
        <w:t xml:space="preserve">Quando o cliente final (Oleoplan, no caso) tem regime tributário próprio que neutraliza o ganho — no setor de combustíveis a tributação é monofásica ad rem, então o crédito tributário tem outra dinâmica. Isso EXIGE simulação numérica detalhada antes da opção formal.</w:t>
      </w:r>
    </w:p>
    <w:p>
      <w:pPr>
        <w:shd w:fill="FFF2CC" w:val="clear"/>
        <w:spacing w:after="120" w:before="120"/>
      </w:pPr>
      <w:r>
        <w:rPr>
          <w:rFonts w:ascii="Arial" w:cs="Arial" w:eastAsia="Arial" w:hAnsi="Arial"/>
          <w:b/>
          <w:bCs/>
          <w:color w:val="C00000"/>
          <w:sz w:val="22"/>
          <w:szCs w:val="22"/>
        </w:rPr>
        <w:t xml:space="preserve">RECOMENDAÇÃO: a Brat deve fazer simulação tributária comparativa em pelo menos três cenários (regime geral, regime art. 271 com 80% atos cooperados, regime art. 271 com 50% atos cooperados) antes de formalizar a opção em 2027. Ferramentas de simulação tributária estão sendo lançadas pela Receita Federal e pelo Comitê Gestor para uso pelos contribuintes durante a transição.</w:t>
      </w:r>
    </w:p>
    <w:p>
      <w:r>
        <w:br w:type="page"/>
      </w:r>
    </w:p>
    <w:p>
      <w:pPr>
        <w:pStyle w:val="Heading1"/>
        <w:spacing w:after="200" w:before="360"/>
      </w:pPr>
      <w:r>
        <w:rPr>
          <w:rFonts w:ascii="Arial" w:cs="Arial" w:eastAsia="Arial" w:hAnsi="Arial"/>
          <w:b/>
          <w:bCs/>
          <w:color w:val="2F75B5"/>
          <w:sz w:val="32"/>
          <w:szCs w:val="32"/>
        </w:rPr>
        <w:t xml:space="preserve">PARTE 3 — DETALHAMENTO DOS PONTOS DE ATENÇÃO JURÍDICOS</w:t>
      </w:r>
    </w:p>
    <w:p>
      <w:pPr>
        <w:spacing w:after="100" w:before="0"/>
      </w:pPr>
      <w:r>
        <w:rPr>
          <w:rFonts w:ascii="Arial" w:cs="Arial" w:eastAsia="Arial" w:hAnsi="Arial"/>
          <w:sz w:val="22"/>
          <w:szCs w:val="22"/>
        </w:rPr>
        <w:t xml:space="preserve">Esta seção destrincha os oito pontos de atenção jurídica identificados no dossiê (aba 12 do Excel), explicando para cada um: o que é, por que importa, qual a base legal, quais os riscos práticos, e o que a Brat precisa fazer para se blindar.</w:t>
      </w:r>
    </w:p>
    <w:p>
      <w:pPr>
        <w:pStyle w:val="Heading2"/>
        <w:spacing w:after="160" w:before="240"/>
      </w:pPr>
      <w:r>
        <w:rPr>
          <w:rFonts w:ascii="Arial" w:cs="Arial" w:eastAsia="Arial" w:hAnsi="Arial"/>
          <w:b/>
          <w:bCs/>
          <w:color w:val="305496"/>
          <w:sz w:val="26"/>
          <w:szCs w:val="26"/>
        </w:rPr>
        <w:t xml:space="preserve">Ponto 1 — Duplicidade de escrituração contábil</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A cooperativa é OBRIGADA, por lei, a manter contabilidade segregada para dois universos:</w:t>
      </w:r>
    </w:p>
    <w:p>
      <w:pPr>
        <w:pStyle w:val="ListParagraph"/>
        <w:numPr>
          <w:ilvl w:val="0"/>
          <w:numId w:val="2"/>
        </w:numPr>
        <w:spacing w:after="80"/>
      </w:pPr>
      <w:r>
        <w:rPr>
          <w:rFonts w:ascii="Arial" w:cs="Arial" w:eastAsia="Arial" w:hAnsi="Arial"/>
          <w:sz w:val="22"/>
          <w:szCs w:val="22"/>
        </w:rPr>
        <w:t xml:space="preserve">Atos cooperativos (operações entre cooperativa e associados, conforme art. 79 da Lei 5.764/1971): NÃO geram receita tributável de IRPJ/CSLL e, no novo regime, terão alíquota zero de IBS/CBS quando optado o art. 271.</w:t>
      </w:r>
    </w:p>
    <w:p>
      <w:pPr>
        <w:pStyle w:val="ListParagraph"/>
        <w:numPr>
          <w:ilvl w:val="0"/>
          <w:numId w:val="2"/>
        </w:numPr>
        <w:spacing w:after="80"/>
      </w:pPr>
      <w:r>
        <w:rPr>
          <w:rFonts w:ascii="Arial" w:cs="Arial" w:eastAsia="Arial" w:hAnsi="Arial"/>
          <w:sz w:val="22"/>
          <w:szCs w:val="22"/>
        </w:rPr>
        <w:t xml:space="preserve">Atos não-cooperativos (operações com não-associados, conforme arts. 85, 86 e 88 da mesma lei): GERAM receita tributável e tributação normal de todos os tributos aplicáveis.</w:t>
      </w:r>
    </w:p>
    <w:p>
      <w:pPr>
        <w:spacing w:after="100" w:before="0"/>
      </w:pPr>
      <w:r>
        <w:rPr>
          <w:rFonts w:ascii="Arial" w:cs="Arial" w:eastAsia="Arial" w:hAnsi="Arial"/>
          <w:sz w:val="22"/>
          <w:szCs w:val="22"/>
        </w:rPr>
        <w:t xml:space="preserve">A separação tem que aparecer em três níveis:</w:t>
      </w:r>
    </w:p>
    <w:p>
      <w:pPr>
        <w:pStyle w:val="ListParagraph"/>
        <w:numPr>
          <w:ilvl w:val="0"/>
          <w:numId w:val="3"/>
        </w:numPr>
        <w:spacing w:after="80"/>
      </w:pPr>
      <w:r>
        <w:rPr>
          <w:rFonts w:ascii="Arial" w:cs="Arial" w:eastAsia="Arial" w:hAnsi="Arial"/>
          <w:sz w:val="22"/>
          <w:szCs w:val="22"/>
        </w:rPr>
        <w:t xml:space="preserve">Plano de contas com centros de custo e contas-correntes específicos para cada tipo de operação.</w:t>
      </w:r>
    </w:p>
    <w:p>
      <w:pPr>
        <w:pStyle w:val="ListParagraph"/>
        <w:numPr>
          <w:ilvl w:val="0"/>
          <w:numId w:val="3"/>
        </w:numPr>
        <w:spacing w:after="80"/>
      </w:pPr>
      <w:r>
        <w:rPr>
          <w:rFonts w:ascii="Arial" w:cs="Arial" w:eastAsia="Arial" w:hAnsi="Arial"/>
          <w:sz w:val="22"/>
          <w:szCs w:val="22"/>
        </w:rPr>
        <w:t xml:space="preserve">Livros fiscais separados (ou com colunas/segregações claras) para receitas, custos, despesas e tributos por tipo de ato.</w:t>
      </w:r>
    </w:p>
    <w:p>
      <w:pPr>
        <w:pStyle w:val="ListParagraph"/>
        <w:numPr>
          <w:ilvl w:val="0"/>
          <w:numId w:val="3"/>
        </w:numPr>
        <w:spacing w:after="80"/>
      </w:pPr>
      <w:r>
        <w:rPr>
          <w:rFonts w:ascii="Arial" w:cs="Arial" w:eastAsia="Arial" w:hAnsi="Arial"/>
          <w:sz w:val="22"/>
          <w:szCs w:val="22"/>
        </w:rPr>
        <w:t xml:space="preserve">SPED-Fiscal, SPED-Contribuições, ECF e ECD com registros corretos identificando cada operação como cooperada ou não-cooperada.</w:t>
      </w:r>
    </w:p>
    <w:p>
      <w:pPr>
        <w:pStyle w:val="Heading3"/>
        <w:spacing w:after="120" w:before="180"/>
      </w:pPr>
      <w:r>
        <w:rPr>
          <w:rFonts w:ascii="Arial" w:cs="Arial" w:eastAsia="Arial" w:hAnsi="Arial"/>
          <w:b/>
          <w:bCs/>
          <w:color w:val="000000"/>
          <w:sz w:val="22"/>
          <w:szCs w:val="22"/>
        </w:rPr>
        <w:t xml:space="preserve">Base legal</w:t>
      </w:r>
    </w:p>
    <w:p>
      <w:pPr>
        <w:pStyle w:val="ListParagraph"/>
        <w:numPr>
          <w:ilvl w:val="0"/>
          <w:numId w:val="2"/>
        </w:numPr>
        <w:spacing w:after="80"/>
      </w:pPr>
      <w:r>
        <w:rPr>
          <w:rFonts w:ascii="Arial" w:cs="Arial" w:eastAsia="Arial" w:hAnsi="Arial"/>
          <w:sz w:val="22"/>
          <w:szCs w:val="22"/>
        </w:rPr>
        <w:t xml:space="preserve">Lei 5.764/1971, art. 87: "Os resultados das operações das cooperativas com não associados serão levados à conta do Fundo de Assistência Técnica, Educacional e Social (FATES) e serão CONTABILIZADOS EM SEPARADO, de molde a permitir cálculo para incidência de tributos." Esta é a regra-mãe.</w:t>
      </w:r>
    </w:p>
    <w:p>
      <w:pPr>
        <w:pStyle w:val="ListParagraph"/>
        <w:numPr>
          <w:ilvl w:val="0"/>
          <w:numId w:val="2"/>
        </w:numPr>
        <w:spacing w:after="80"/>
      </w:pPr>
      <w:r>
        <w:rPr>
          <w:rFonts w:ascii="Arial" w:cs="Arial" w:eastAsia="Arial" w:hAnsi="Arial"/>
          <w:sz w:val="22"/>
          <w:szCs w:val="22"/>
        </w:rPr>
        <w:t xml:space="preserve">Lei 5.764/1971, art. 111: define que somente os resultados positivos com não-associados são renda tributável.</w:t>
      </w:r>
    </w:p>
    <w:p>
      <w:pPr>
        <w:pStyle w:val="ListParagraph"/>
        <w:numPr>
          <w:ilvl w:val="0"/>
          <w:numId w:val="2"/>
        </w:numPr>
        <w:spacing w:after="80"/>
      </w:pPr>
      <w:r>
        <w:rPr>
          <w:rFonts w:ascii="Arial" w:cs="Arial" w:eastAsia="Arial" w:hAnsi="Arial"/>
          <w:sz w:val="22"/>
          <w:szCs w:val="22"/>
        </w:rPr>
        <w:t xml:space="preserve">IN RFB 2.121/2022, arts. 245 a 256: regulamenta detalhadamente como deve ser feita a escrituração para PIS/COFINS.</w:t>
      </w:r>
    </w:p>
    <w:p>
      <w:pPr>
        <w:pStyle w:val="ListParagraph"/>
        <w:numPr>
          <w:ilvl w:val="0"/>
          <w:numId w:val="2"/>
        </w:numPr>
        <w:spacing w:after="80"/>
      </w:pPr>
      <w:r>
        <w:rPr>
          <w:rFonts w:ascii="Arial" w:cs="Arial" w:eastAsia="Arial" w:hAnsi="Arial"/>
          <w:sz w:val="22"/>
          <w:szCs w:val="22"/>
        </w:rPr>
        <w:t xml:space="preserve">IN RFB 1.700/2017, arts. 211 a 215: regulamenta para IRPJ/CSLL.</w:t>
      </w:r>
    </w:p>
    <w:p>
      <w:pPr>
        <w:pStyle w:val="ListParagraph"/>
        <w:numPr>
          <w:ilvl w:val="0"/>
          <w:numId w:val="2"/>
        </w:numPr>
        <w:spacing w:after="80"/>
      </w:pPr>
      <w:r>
        <w:rPr>
          <w:rFonts w:ascii="Arial" w:cs="Arial" w:eastAsia="Arial" w:hAnsi="Arial"/>
          <w:sz w:val="22"/>
          <w:szCs w:val="22"/>
        </w:rPr>
        <w:t xml:space="preserve">LC 214/2025, art. 51 e 271: agora exige também a segregação para fins de rateio de créditos no IBS/CBS.</w:t>
      </w:r>
    </w:p>
    <w:p>
      <w:pPr>
        <w:pStyle w:val="Heading3"/>
        <w:spacing w:after="120" w:before="180"/>
      </w:pPr>
      <w:r>
        <w:rPr>
          <w:rFonts w:ascii="Arial" w:cs="Arial" w:eastAsia="Arial" w:hAnsi="Arial"/>
          <w:b/>
          <w:bCs/>
          <w:color w:val="000000"/>
          <w:sz w:val="22"/>
          <w:szCs w:val="22"/>
        </w:rPr>
        <w:t xml:space="preserve">Riscos práticos se for ignorado</w:t>
      </w:r>
    </w:p>
    <w:p>
      <w:pPr>
        <w:spacing w:after="100" w:before="0"/>
      </w:pPr>
      <w:r>
        <w:rPr>
          <w:rFonts w:ascii="Arial" w:cs="Arial" w:eastAsia="Arial" w:hAnsi="Arial"/>
          <w:sz w:val="22"/>
          <w:szCs w:val="22"/>
        </w:rPr>
        <w:t xml:space="preserve">Sem segregação contábil, o Fisco pode:</w:t>
      </w:r>
    </w:p>
    <w:p>
      <w:pPr>
        <w:pStyle w:val="ListParagraph"/>
        <w:numPr>
          <w:ilvl w:val="0"/>
          <w:numId w:val="2"/>
        </w:numPr>
        <w:spacing w:after="80"/>
      </w:pPr>
      <w:r>
        <w:rPr>
          <w:rFonts w:ascii="Arial" w:cs="Arial" w:eastAsia="Arial" w:hAnsi="Arial"/>
          <w:sz w:val="22"/>
          <w:szCs w:val="22"/>
        </w:rPr>
        <w:t xml:space="preserve">Reclassificar TODA a operação como ato não-cooperativo, levando à tributação plena de tudo (IRPJ, CSLL, PIS, COFINS, ICMS no sistema antigo; CBS, IBS no novo). Isso pode dobrar ou triplicar a carga tributária da cooperativa.</w:t>
      </w:r>
    </w:p>
    <w:p>
      <w:pPr>
        <w:pStyle w:val="ListParagraph"/>
        <w:numPr>
          <w:ilvl w:val="0"/>
          <w:numId w:val="2"/>
        </w:numPr>
        <w:spacing w:after="80"/>
      </w:pPr>
      <w:r>
        <w:rPr>
          <w:rFonts w:ascii="Arial" w:cs="Arial" w:eastAsia="Arial" w:hAnsi="Arial"/>
          <w:sz w:val="22"/>
          <w:szCs w:val="22"/>
        </w:rPr>
        <w:t xml:space="preserve">Aplicar multa de ofício de 75% sobre o tributo não recolhido (Lei 9.430/96, art. 44), agravada para 150% em caso de fraude evidente.</w:t>
      </w:r>
    </w:p>
    <w:p>
      <w:pPr>
        <w:pStyle w:val="ListParagraph"/>
        <w:numPr>
          <w:ilvl w:val="0"/>
          <w:numId w:val="2"/>
        </w:numPr>
        <w:spacing w:after="80"/>
      </w:pPr>
      <w:r>
        <w:rPr>
          <w:rFonts w:ascii="Arial" w:cs="Arial" w:eastAsia="Arial" w:hAnsi="Arial"/>
          <w:sz w:val="22"/>
          <w:szCs w:val="22"/>
        </w:rPr>
        <w:t xml:space="preserve">Glosar todos os créditos de PIS/COFINS aproveitados sem suporte documental adequado.</w:t>
      </w:r>
    </w:p>
    <w:p>
      <w:pPr>
        <w:pStyle w:val="ListParagraph"/>
        <w:numPr>
          <w:ilvl w:val="0"/>
          <w:numId w:val="2"/>
        </w:numPr>
        <w:spacing w:after="80"/>
      </w:pPr>
      <w:r>
        <w:rPr>
          <w:rFonts w:ascii="Arial" w:cs="Arial" w:eastAsia="Arial" w:hAnsi="Arial"/>
          <w:sz w:val="22"/>
          <w:szCs w:val="22"/>
        </w:rPr>
        <w:t xml:space="preserve">No novo regime: glosar os benefícios do art. 271 e cobrar o IBS+CBS pleno retroativamente desde a opção.</w:t>
      </w:r>
    </w:p>
    <w:p>
      <w:pPr>
        <w:pStyle w:val="Heading3"/>
        <w:spacing w:after="120" w:before="180"/>
      </w:pPr>
      <w:r>
        <w:rPr>
          <w:rFonts w:ascii="Arial" w:cs="Arial" w:eastAsia="Arial" w:hAnsi="Arial"/>
          <w:b/>
          <w:bCs/>
          <w:color w:val="000000"/>
          <w:sz w:val="22"/>
          <w:szCs w:val="22"/>
        </w:rPr>
        <w:t xml:space="preserve">O que a Brat precisa fazer</w:t>
      </w:r>
    </w:p>
    <w:p>
      <w:pPr>
        <w:pStyle w:val="ListParagraph"/>
        <w:numPr>
          <w:ilvl w:val="0"/>
          <w:numId w:val="3"/>
        </w:numPr>
        <w:spacing w:after="80"/>
      </w:pPr>
      <w:r>
        <w:rPr>
          <w:rFonts w:ascii="Arial" w:cs="Arial" w:eastAsia="Arial" w:hAnsi="Arial"/>
          <w:sz w:val="22"/>
          <w:szCs w:val="22"/>
        </w:rPr>
        <w:t xml:space="preserve">Contratar contador com EXPERIÊNCIA específica em cooperativismo (não basta contador agro convencional). Existe a OCB-BA (Sindicato e Organização das Cooperativas do Estado da Bahia) que mantém lista de profissionais credenciados.</w:t>
      </w:r>
    </w:p>
    <w:p>
      <w:pPr>
        <w:pStyle w:val="ListParagraph"/>
        <w:numPr>
          <w:ilvl w:val="0"/>
          <w:numId w:val="3"/>
        </w:numPr>
        <w:spacing w:after="80"/>
      </w:pPr>
      <w:r>
        <w:rPr>
          <w:rFonts w:ascii="Arial" w:cs="Arial" w:eastAsia="Arial" w:hAnsi="Arial"/>
          <w:sz w:val="22"/>
          <w:szCs w:val="22"/>
        </w:rPr>
        <w:t xml:space="preserve">Implementar ERP fiscal com módulo de cooperativismo nativo. Sistemas reconhecidos: NETIS Sescoop, Globalweb, Senior, Aliare. Custo estimado: R$ 80-150 mil/ano para uma cooperativa pequena/média.</w:t>
      </w:r>
    </w:p>
    <w:p>
      <w:pPr>
        <w:pStyle w:val="ListParagraph"/>
        <w:numPr>
          <w:ilvl w:val="0"/>
          <w:numId w:val="3"/>
        </w:numPr>
        <w:spacing w:after="80"/>
      </w:pPr>
      <w:r>
        <w:rPr>
          <w:rFonts w:ascii="Arial" w:cs="Arial" w:eastAsia="Arial" w:hAnsi="Arial"/>
          <w:sz w:val="22"/>
          <w:szCs w:val="22"/>
        </w:rPr>
        <w:t xml:space="preserve">Manter todos os contratos com associados (estatuto, ata de admissão, contrato de fornecimento por safra, prestação de contas anual) em sistema documental rastreável.</w:t>
      </w:r>
    </w:p>
    <w:p>
      <w:pPr>
        <w:pStyle w:val="ListParagraph"/>
        <w:numPr>
          <w:ilvl w:val="0"/>
          <w:numId w:val="3"/>
        </w:numPr>
        <w:spacing w:after="80"/>
      </w:pPr>
      <w:r>
        <w:rPr>
          <w:rFonts w:ascii="Arial" w:cs="Arial" w:eastAsia="Arial" w:hAnsi="Arial"/>
          <w:sz w:val="22"/>
          <w:szCs w:val="22"/>
        </w:rPr>
        <w:t xml:space="preserve">Auditoria anual independente: para cooperativas com faturamento acima de R$ 10 mi/ano, recomenda-se auditoria contábil anual de auditor independente, mesmo quando não obrigatória, como blindagem.</w:t>
      </w:r>
    </w:p>
    <w:p>
      <w:pPr>
        <w:pStyle w:val="Heading2"/>
        <w:spacing w:after="160" w:before="240"/>
      </w:pPr>
      <w:r>
        <w:rPr>
          <w:rFonts w:ascii="Arial" w:cs="Arial" w:eastAsia="Arial" w:hAnsi="Arial"/>
          <w:b/>
          <w:bCs/>
          <w:color w:val="305496"/>
          <w:sz w:val="26"/>
          <w:szCs w:val="26"/>
        </w:rPr>
        <w:t xml:space="preserve">Ponto 2 — Genuinidade dos cooperados (CAR, ITR, CAF)</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Os cooperados precisam ser PRODUTORES REAIS, com atividade econômica comprovada, propriedade ou posse rural documentada e relação genuína com a cooperativa. "Cooperado de papel" — pessoa que apenas assinou o estatuto sem efetivamente produzir nada — descaracteriza toda a operação cooperativa para fins fiscais.</w:t>
      </w:r>
    </w:p>
    <w:p>
      <w:pPr>
        <w:pStyle w:val="Heading3"/>
        <w:spacing w:after="120" w:before="180"/>
      </w:pPr>
      <w:r>
        <w:rPr>
          <w:rFonts w:ascii="Arial" w:cs="Arial" w:eastAsia="Arial" w:hAnsi="Arial"/>
          <w:b/>
          <w:bCs/>
          <w:color w:val="000000"/>
          <w:sz w:val="22"/>
          <w:szCs w:val="22"/>
        </w:rPr>
        <w:t xml:space="preserve">Documentação obrigatória por cooperado</w:t>
      </w:r>
    </w:p>
    <w:p>
      <w:pPr>
        <w:pStyle w:val="ListParagraph"/>
        <w:numPr>
          <w:ilvl w:val="0"/>
          <w:numId w:val="2"/>
        </w:numPr>
        <w:spacing w:after="80"/>
      </w:pPr>
      <w:r>
        <w:rPr>
          <w:rFonts w:ascii="Arial" w:cs="Arial" w:eastAsia="Arial" w:hAnsi="Arial"/>
          <w:sz w:val="22"/>
          <w:szCs w:val="22"/>
        </w:rPr>
        <w:t xml:space="preserve">CPF e Cadastro do Produtor Rural na SEFAZ-BA (bloco de produtor) ou Inscrição Estadual ativa.</w:t>
      </w:r>
    </w:p>
    <w:p>
      <w:pPr>
        <w:pStyle w:val="ListParagraph"/>
        <w:numPr>
          <w:ilvl w:val="0"/>
          <w:numId w:val="2"/>
        </w:numPr>
        <w:spacing w:after="80"/>
      </w:pPr>
      <w:r>
        <w:rPr>
          <w:rFonts w:ascii="Arial" w:cs="Arial" w:eastAsia="Arial" w:hAnsi="Arial"/>
          <w:sz w:val="22"/>
          <w:szCs w:val="22"/>
        </w:rPr>
        <w:t xml:space="preserve">CAR (Cadastro Ambiental Rural), criado pela Lei 12.651/2012 — registro georreferenciado da propriedade rural com identificação da APP, reserva legal e área de uso consolidado. Sem CAR, o produtor não pode emitir crédito rural ou DOF e não comprova posse legal.</w:t>
      </w:r>
    </w:p>
    <w:p>
      <w:pPr>
        <w:pStyle w:val="ListParagraph"/>
        <w:numPr>
          <w:ilvl w:val="0"/>
          <w:numId w:val="2"/>
        </w:numPr>
        <w:spacing w:after="80"/>
      </w:pPr>
      <w:r>
        <w:rPr>
          <w:rFonts w:ascii="Arial" w:cs="Arial" w:eastAsia="Arial" w:hAnsi="Arial"/>
          <w:sz w:val="22"/>
          <w:szCs w:val="22"/>
        </w:rPr>
        <w:t xml:space="preserve">ITR (Imposto Territorial Rural) com DITR atualizada — comprova a propriedade fiscal do imóvel rural e a destinação para atividade agropecuária/florestal.</w:t>
      </w:r>
    </w:p>
    <w:p>
      <w:pPr>
        <w:pStyle w:val="ListParagraph"/>
        <w:numPr>
          <w:ilvl w:val="0"/>
          <w:numId w:val="2"/>
        </w:numPr>
        <w:spacing w:after="80"/>
      </w:pPr>
      <w:r>
        <w:rPr>
          <w:rFonts w:ascii="Arial" w:cs="Arial" w:eastAsia="Arial" w:hAnsi="Arial"/>
          <w:sz w:val="22"/>
          <w:szCs w:val="22"/>
        </w:rPr>
        <w:t xml:space="preserve">CAF (Cadastro Nacional da Agricultura Familiar), instituído pela Lei 11.326/2006 e regulamentado pela Lei 13.001/2014 — substituiu a antiga DAP em 2024. Imprescindível para comprovar enquadramento como agricultor familiar e habilitar o produtor para o Selo Biocombustível Social da Oleoplan.</w:t>
      </w:r>
    </w:p>
    <w:p>
      <w:pPr>
        <w:pStyle w:val="ListParagraph"/>
        <w:numPr>
          <w:ilvl w:val="0"/>
          <w:numId w:val="2"/>
        </w:numPr>
        <w:spacing w:after="80"/>
      </w:pPr>
      <w:r>
        <w:rPr>
          <w:rFonts w:ascii="Arial" w:cs="Arial" w:eastAsia="Arial" w:hAnsi="Arial"/>
          <w:sz w:val="22"/>
          <w:szCs w:val="22"/>
        </w:rPr>
        <w:t xml:space="preserve">Para cooperado florestal: ART (Anotação de Responsabilidade Técnica) de engenheiro florestal vinculado ao plano de manejo, e licença ambiental no INEMA com Plano de Manejo Florestal Sustentável (PMFS) aprovado quando for caatinga; ou Certificado Florestal/CAR para reflorestamento de eucalipto.</w:t>
      </w:r>
    </w:p>
    <w:p>
      <w:pPr>
        <w:pStyle w:val="ListParagraph"/>
        <w:numPr>
          <w:ilvl w:val="0"/>
          <w:numId w:val="2"/>
        </w:numPr>
        <w:spacing w:after="80"/>
      </w:pPr>
      <w:r>
        <w:rPr>
          <w:rFonts w:ascii="Arial" w:cs="Arial" w:eastAsia="Arial" w:hAnsi="Arial"/>
          <w:sz w:val="22"/>
          <w:szCs w:val="22"/>
        </w:rPr>
        <w:t xml:space="preserve">Ata de assembleia da cooperativa registrando a admissão do cooperado e suas quotas-partes integralizadas.</w:t>
      </w:r>
    </w:p>
    <w:p>
      <w:pPr>
        <w:pStyle w:val="ListParagraph"/>
        <w:numPr>
          <w:ilvl w:val="0"/>
          <w:numId w:val="2"/>
        </w:numPr>
        <w:spacing w:after="80"/>
      </w:pPr>
      <w:r>
        <w:rPr>
          <w:rFonts w:ascii="Arial" w:cs="Arial" w:eastAsia="Arial" w:hAnsi="Arial"/>
          <w:sz w:val="22"/>
          <w:szCs w:val="22"/>
        </w:rPr>
        <w:t xml:space="preserve">Contrato anual ou plurianual de fornecimento entre cooperado e cooperativa, com volumes mínimos previstos.</w:t>
      </w:r>
    </w:p>
    <w:p>
      <w:pPr>
        <w:pStyle w:val="Heading3"/>
        <w:spacing w:after="120" w:before="180"/>
      </w:pPr>
      <w:r>
        <w:rPr>
          <w:rFonts w:ascii="Arial" w:cs="Arial" w:eastAsia="Arial" w:hAnsi="Arial"/>
          <w:b/>
          <w:bCs/>
          <w:color w:val="000000"/>
          <w:sz w:val="22"/>
          <w:szCs w:val="22"/>
        </w:rPr>
        <w:t xml:space="preserve">Riscos se houver "cooperado de papel"</w:t>
      </w:r>
    </w:p>
    <w:p>
      <w:pPr>
        <w:spacing w:after="100" w:before="0"/>
      </w:pPr>
      <w:r>
        <w:rPr>
          <w:rFonts w:ascii="Arial" w:cs="Arial" w:eastAsia="Arial" w:hAnsi="Arial"/>
          <w:sz w:val="22"/>
          <w:szCs w:val="22"/>
        </w:rPr>
        <w:t xml:space="preserve">Caso o Fisco identifique que a cooperativa tem cooperados que não produzem efetivamente, pode:</w:t>
      </w:r>
    </w:p>
    <w:p>
      <w:pPr>
        <w:pStyle w:val="ListParagraph"/>
        <w:numPr>
          <w:ilvl w:val="0"/>
          <w:numId w:val="2"/>
        </w:numPr>
        <w:spacing w:after="80"/>
      </w:pPr>
      <w:r>
        <w:rPr>
          <w:rFonts w:ascii="Arial" w:cs="Arial" w:eastAsia="Arial" w:hAnsi="Arial"/>
          <w:sz w:val="22"/>
          <w:szCs w:val="22"/>
        </w:rPr>
        <w:t xml:space="preserve">Considerar simulação (CTN, art. 116, parágrafo único) e desconsiderar a personalidade da cooperativa para fins fiscais.</w:t>
      </w:r>
    </w:p>
    <w:p>
      <w:pPr>
        <w:pStyle w:val="ListParagraph"/>
        <w:numPr>
          <w:ilvl w:val="0"/>
          <w:numId w:val="2"/>
        </w:numPr>
        <w:spacing w:after="80"/>
      </w:pPr>
      <w:r>
        <w:rPr>
          <w:rFonts w:ascii="Arial" w:cs="Arial" w:eastAsia="Arial" w:hAnsi="Arial"/>
          <w:sz w:val="22"/>
          <w:szCs w:val="22"/>
        </w:rPr>
        <w:t xml:space="preserve">Aplicar Lei 9.430/96, art. 44, II: multa qualificada de 150% sobre os tributos não recolhidos por uso de simulação.</w:t>
      </w:r>
    </w:p>
    <w:p>
      <w:pPr>
        <w:pStyle w:val="ListParagraph"/>
        <w:numPr>
          <w:ilvl w:val="0"/>
          <w:numId w:val="2"/>
        </w:numPr>
        <w:spacing w:after="80"/>
      </w:pPr>
      <w:r>
        <w:rPr>
          <w:rFonts w:ascii="Arial" w:cs="Arial" w:eastAsia="Arial" w:hAnsi="Arial"/>
          <w:sz w:val="22"/>
          <w:szCs w:val="22"/>
        </w:rPr>
        <w:t xml:space="preserve">Caracterizar crime de sonegação fiscal (Lei 8.137/1990, art. 1º) e crime contra a ordem tributária, com risco de persecução penal aos administradores da cooperativa.</w:t>
      </w:r>
    </w:p>
    <w:p>
      <w:pPr>
        <w:pStyle w:val="ListParagraph"/>
        <w:numPr>
          <w:ilvl w:val="0"/>
          <w:numId w:val="2"/>
        </w:numPr>
        <w:spacing w:after="80"/>
      </w:pPr>
      <w:r>
        <w:rPr>
          <w:rFonts w:ascii="Arial" w:cs="Arial" w:eastAsia="Arial" w:hAnsi="Arial"/>
          <w:sz w:val="22"/>
          <w:szCs w:val="22"/>
        </w:rPr>
        <w:t xml:space="preserve">No campo cível, perda de habilitação no Selo Biocombustível Social, repercutindo nos contratos com a Oleoplan.</w:t>
      </w:r>
    </w:p>
    <w:p>
      <w:pPr>
        <w:pStyle w:val="Heading3"/>
        <w:spacing w:after="120" w:before="180"/>
      </w:pPr>
      <w:r>
        <w:rPr>
          <w:rFonts w:ascii="Arial" w:cs="Arial" w:eastAsia="Arial" w:hAnsi="Arial"/>
          <w:b/>
          <w:bCs/>
          <w:color w:val="000000"/>
          <w:sz w:val="22"/>
          <w:szCs w:val="22"/>
        </w:rPr>
        <w:t xml:space="preserve">Procedimento de blindagem</w:t>
      </w:r>
    </w:p>
    <w:p>
      <w:pPr>
        <w:pStyle w:val="ListParagraph"/>
        <w:numPr>
          <w:ilvl w:val="0"/>
          <w:numId w:val="3"/>
        </w:numPr>
        <w:spacing w:after="80"/>
      </w:pPr>
      <w:r>
        <w:rPr>
          <w:rFonts w:ascii="Arial" w:cs="Arial" w:eastAsia="Arial" w:hAnsi="Arial"/>
          <w:sz w:val="22"/>
          <w:szCs w:val="22"/>
        </w:rPr>
        <w:t xml:space="preserve">Antes de admitir um cooperado: exigir checklist completo (CAR, ITR DITR atualizada, CAF, NF do produtor dos últimos 12 meses, comprovante de posse ou propriedade, georreferenciamento), com validação de documentos por engenheiro agrônomo/florestal contratado pela cooperativa.</w:t>
      </w:r>
    </w:p>
    <w:p>
      <w:pPr>
        <w:pStyle w:val="ListParagraph"/>
        <w:numPr>
          <w:ilvl w:val="0"/>
          <w:numId w:val="3"/>
        </w:numPr>
        <w:spacing w:after="80"/>
      </w:pPr>
      <w:r>
        <w:rPr>
          <w:rFonts w:ascii="Arial" w:cs="Arial" w:eastAsia="Arial" w:hAnsi="Arial"/>
          <w:sz w:val="22"/>
          <w:szCs w:val="22"/>
        </w:rPr>
        <w:t xml:space="preserve">Manter visita in loco anual a cada propriedade dos cooperados (mesmo que por amostragem rotativa de 30% ao ano), com relatório fotográfico georreferenciado e ART do técnico.</w:t>
      </w:r>
    </w:p>
    <w:p>
      <w:pPr>
        <w:pStyle w:val="ListParagraph"/>
        <w:numPr>
          <w:ilvl w:val="0"/>
          <w:numId w:val="3"/>
        </w:numPr>
        <w:spacing w:after="80"/>
      </w:pPr>
      <w:r>
        <w:rPr>
          <w:rFonts w:ascii="Arial" w:cs="Arial" w:eastAsia="Arial" w:hAnsi="Arial"/>
          <w:sz w:val="22"/>
          <w:szCs w:val="22"/>
        </w:rPr>
        <w:t xml:space="preserve">Sistema de gestão de cooperados com painel de KPIs: % de fornecimento mensal por cooperado, regularidade fiscal, situação no CAF, vencimento de licenças.</w:t>
      </w:r>
    </w:p>
    <w:p>
      <w:pPr>
        <w:pStyle w:val="ListParagraph"/>
        <w:numPr>
          <w:ilvl w:val="0"/>
          <w:numId w:val="3"/>
        </w:numPr>
        <w:spacing w:after="80"/>
      </w:pPr>
      <w:r>
        <w:rPr>
          <w:rFonts w:ascii="Arial" w:cs="Arial" w:eastAsia="Arial" w:hAnsi="Arial"/>
          <w:sz w:val="22"/>
          <w:szCs w:val="22"/>
        </w:rPr>
        <w:t xml:space="preserve">Em caso de cooperado com produção ZERO em 12 meses consecutivos: desligamento formal por ata de assembleia, com comunicação ao Fisco se necessário.</w:t>
      </w:r>
    </w:p>
    <w:p>
      <w:pPr>
        <w:pStyle w:val="Heading2"/>
        <w:spacing w:after="160" w:before="240"/>
      </w:pPr>
      <w:r>
        <w:rPr>
          <w:rFonts w:ascii="Arial" w:cs="Arial" w:eastAsia="Arial" w:hAnsi="Arial"/>
          <w:b/>
          <w:bCs/>
          <w:color w:val="305496"/>
          <w:sz w:val="26"/>
          <w:szCs w:val="26"/>
        </w:rPr>
        <w:t xml:space="preserve">Ponto 3 — Estatuto social e atas de assembleia</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O estatuto social é o documento fundacional da cooperativa e deve descrever, com precisão técnica, os fins sociais e o tipo de ato cooperativo praticado. Atas de assembleia documentam todas as deliberações coletivas — admissão de cooperados, aprovação de balanço, distribuição de sobras, alteração estatutária. Os dois documentos formam a "prova de identidade" da cooperativa no contencioso fiscal.</w:t>
      </w:r>
    </w:p>
    <w:p>
      <w:pPr>
        <w:pStyle w:val="Heading3"/>
        <w:spacing w:after="120" w:before="180"/>
      </w:pPr>
      <w:r>
        <w:rPr>
          <w:rFonts w:ascii="Arial" w:cs="Arial" w:eastAsia="Arial" w:hAnsi="Arial"/>
          <w:b/>
          <w:bCs/>
          <w:color w:val="000000"/>
          <w:sz w:val="22"/>
          <w:szCs w:val="22"/>
        </w:rPr>
        <w:t xml:space="preserve">Cláusulas obrigatórias do estatuto (Lei 5.764/1971, arts. 21 e seguintes)</w:t>
      </w:r>
    </w:p>
    <w:p>
      <w:pPr>
        <w:pStyle w:val="ListParagraph"/>
        <w:numPr>
          <w:ilvl w:val="0"/>
          <w:numId w:val="2"/>
        </w:numPr>
        <w:spacing w:after="80"/>
      </w:pPr>
      <w:r>
        <w:rPr>
          <w:rFonts w:ascii="Arial" w:cs="Arial" w:eastAsia="Arial" w:hAnsi="Arial"/>
          <w:sz w:val="22"/>
          <w:szCs w:val="22"/>
        </w:rPr>
        <w:t xml:space="preserve">Denominação, sede e foro.</w:t>
      </w:r>
    </w:p>
    <w:p>
      <w:pPr>
        <w:pStyle w:val="ListParagraph"/>
        <w:numPr>
          <w:ilvl w:val="0"/>
          <w:numId w:val="2"/>
        </w:numPr>
        <w:spacing w:after="80"/>
      </w:pPr>
      <w:r>
        <w:rPr>
          <w:rFonts w:ascii="Arial" w:cs="Arial" w:eastAsia="Arial" w:hAnsi="Arial"/>
          <w:sz w:val="22"/>
          <w:szCs w:val="22"/>
        </w:rPr>
        <w:t xml:space="preserve">Objeto social descrito com clareza, vinculando-o ao tipo específico de ato cooperativo (produção, consumo, trabalho, transporte, crédito, etc.).</w:t>
      </w:r>
    </w:p>
    <w:p>
      <w:pPr>
        <w:pStyle w:val="ListParagraph"/>
        <w:numPr>
          <w:ilvl w:val="0"/>
          <w:numId w:val="2"/>
        </w:numPr>
        <w:spacing w:after="80"/>
      </w:pPr>
      <w:r>
        <w:rPr>
          <w:rFonts w:ascii="Arial" w:cs="Arial" w:eastAsia="Arial" w:hAnsi="Arial"/>
          <w:sz w:val="22"/>
          <w:szCs w:val="22"/>
        </w:rPr>
        <w:t xml:space="preserve">Capital social subscrito e integralizado pelos cooperados, com regras de admissão, demissão, eliminação e exclusão.</w:t>
      </w:r>
    </w:p>
    <w:p>
      <w:pPr>
        <w:pStyle w:val="ListParagraph"/>
        <w:numPr>
          <w:ilvl w:val="0"/>
          <w:numId w:val="2"/>
        </w:numPr>
        <w:spacing w:after="80"/>
      </w:pPr>
      <w:r>
        <w:rPr>
          <w:rFonts w:ascii="Arial" w:cs="Arial" w:eastAsia="Arial" w:hAnsi="Arial"/>
          <w:sz w:val="22"/>
          <w:szCs w:val="22"/>
        </w:rPr>
        <w:t xml:space="preserve">Assembleia geral: composição, quórum, periodicidade, competências.</w:t>
      </w:r>
    </w:p>
    <w:p>
      <w:pPr>
        <w:pStyle w:val="ListParagraph"/>
        <w:numPr>
          <w:ilvl w:val="0"/>
          <w:numId w:val="2"/>
        </w:numPr>
        <w:spacing w:after="80"/>
      </w:pPr>
      <w:r>
        <w:rPr>
          <w:rFonts w:ascii="Arial" w:cs="Arial" w:eastAsia="Arial" w:hAnsi="Arial"/>
          <w:sz w:val="22"/>
          <w:szCs w:val="22"/>
        </w:rPr>
        <w:t xml:space="preserve">Conselho administrativo e fiscal: composição, mandato, atribuições.</w:t>
      </w:r>
    </w:p>
    <w:p>
      <w:pPr>
        <w:pStyle w:val="ListParagraph"/>
        <w:numPr>
          <w:ilvl w:val="0"/>
          <w:numId w:val="2"/>
        </w:numPr>
        <w:spacing w:after="80"/>
      </w:pPr>
      <w:r>
        <w:rPr>
          <w:rFonts w:ascii="Arial" w:cs="Arial" w:eastAsia="Arial" w:hAnsi="Arial"/>
          <w:sz w:val="22"/>
          <w:szCs w:val="22"/>
        </w:rPr>
        <w:t xml:space="preserve">Rateio de despesas e prestação de contas.</w:t>
      </w:r>
    </w:p>
    <w:p>
      <w:pPr>
        <w:pStyle w:val="ListParagraph"/>
        <w:numPr>
          <w:ilvl w:val="0"/>
          <w:numId w:val="2"/>
        </w:numPr>
        <w:spacing w:after="80"/>
      </w:pPr>
      <w:r>
        <w:rPr>
          <w:rFonts w:ascii="Arial" w:cs="Arial" w:eastAsia="Arial" w:hAnsi="Arial"/>
          <w:sz w:val="22"/>
          <w:szCs w:val="22"/>
        </w:rPr>
        <w:t xml:space="preserve">Distribuição de sobras e destinação dos fundos obrigatórios (FATES — Fundo de Assistência Técnica, Educacional e Social, e Fundo de Reserva).</w:t>
      </w:r>
    </w:p>
    <w:p>
      <w:pPr>
        <w:pStyle w:val="ListParagraph"/>
        <w:numPr>
          <w:ilvl w:val="0"/>
          <w:numId w:val="2"/>
        </w:numPr>
        <w:spacing w:after="80"/>
      </w:pPr>
      <w:r>
        <w:rPr>
          <w:rFonts w:ascii="Arial" w:cs="Arial" w:eastAsia="Arial" w:hAnsi="Arial"/>
          <w:sz w:val="22"/>
          <w:szCs w:val="22"/>
        </w:rPr>
        <w:t xml:space="preserve">Dissolução e liquidação.</w:t>
      </w:r>
    </w:p>
    <w:p>
      <w:pPr>
        <w:pStyle w:val="Heading3"/>
        <w:spacing w:after="120" w:before="180"/>
      </w:pPr>
      <w:r>
        <w:rPr>
          <w:rFonts w:ascii="Arial" w:cs="Arial" w:eastAsia="Arial" w:hAnsi="Arial"/>
          <w:b/>
          <w:bCs/>
          <w:color w:val="000000"/>
          <w:sz w:val="22"/>
          <w:szCs w:val="22"/>
        </w:rPr>
        <w:t xml:space="preserve">Atas obrigatórias</w:t>
      </w:r>
    </w:p>
    <w:p>
      <w:pPr>
        <w:pStyle w:val="ListParagraph"/>
        <w:numPr>
          <w:ilvl w:val="0"/>
          <w:numId w:val="2"/>
        </w:numPr>
        <w:spacing w:after="80"/>
      </w:pPr>
      <w:r>
        <w:rPr>
          <w:rFonts w:ascii="Arial" w:cs="Arial" w:eastAsia="Arial" w:hAnsi="Arial"/>
          <w:sz w:val="22"/>
          <w:szCs w:val="22"/>
        </w:rPr>
        <w:t xml:space="preserve">Ata de fundação registrada na JUCEB.</w:t>
      </w:r>
    </w:p>
    <w:p>
      <w:pPr>
        <w:pStyle w:val="ListParagraph"/>
        <w:numPr>
          <w:ilvl w:val="0"/>
          <w:numId w:val="2"/>
        </w:numPr>
        <w:spacing w:after="80"/>
      </w:pPr>
      <w:r>
        <w:rPr>
          <w:rFonts w:ascii="Arial" w:cs="Arial" w:eastAsia="Arial" w:hAnsi="Arial"/>
          <w:sz w:val="22"/>
          <w:szCs w:val="22"/>
        </w:rPr>
        <w:t xml:space="preserve">Atas de assembleia geral ordinária (anual) com aprovação de demonstrações contábeis, distribuição de sobras, eleição da diretoria.</w:t>
      </w:r>
    </w:p>
    <w:p>
      <w:pPr>
        <w:pStyle w:val="ListParagraph"/>
        <w:numPr>
          <w:ilvl w:val="0"/>
          <w:numId w:val="2"/>
        </w:numPr>
        <w:spacing w:after="80"/>
      </w:pPr>
      <w:r>
        <w:rPr>
          <w:rFonts w:ascii="Arial" w:cs="Arial" w:eastAsia="Arial" w:hAnsi="Arial"/>
          <w:sz w:val="22"/>
          <w:szCs w:val="22"/>
        </w:rPr>
        <w:t xml:space="preserve">Atas de assembleia geral extraordinária: alterações estatutárias, admissão de novos cooperados em massa, mudanças no objeto social.</w:t>
      </w:r>
    </w:p>
    <w:p>
      <w:pPr>
        <w:pStyle w:val="ListParagraph"/>
        <w:numPr>
          <w:ilvl w:val="0"/>
          <w:numId w:val="2"/>
        </w:numPr>
        <w:spacing w:after="80"/>
      </w:pPr>
      <w:r>
        <w:rPr>
          <w:rFonts w:ascii="Arial" w:cs="Arial" w:eastAsia="Arial" w:hAnsi="Arial"/>
          <w:sz w:val="22"/>
          <w:szCs w:val="22"/>
        </w:rPr>
        <w:t xml:space="preserve">Atas das reuniões do conselho administrativo e fiscal.</w:t>
      </w:r>
    </w:p>
    <w:p>
      <w:pPr>
        <w:pStyle w:val="Heading3"/>
        <w:spacing w:after="120" w:before="180"/>
      </w:pPr>
      <w:r>
        <w:rPr>
          <w:rFonts w:ascii="Arial" w:cs="Arial" w:eastAsia="Arial" w:hAnsi="Arial"/>
          <w:b/>
          <w:bCs/>
          <w:color w:val="000000"/>
          <w:sz w:val="22"/>
          <w:szCs w:val="22"/>
        </w:rPr>
        <w:t xml:space="preserve">Risco se houver inconsistência</w:t>
      </w:r>
    </w:p>
    <w:p>
      <w:pPr>
        <w:spacing w:after="100" w:before="0"/>
      </w:pPr>
      <w:r>
        <w:rPr>
          <w:rFonts w:ascii="Arial" w:cs="Arial" w:eastAsia="Arial" w:hAnsi="Arial"/>
          <w:sz w:val="22"/>
          <w:szCs w:val="22"/>
        </w:rPr>
        <w:t xml:space="preserve">Estatuto vago ou desalinhado com a prática operacional é um dos sintomas mais buscados pelo Fisco para abrir fiscalização específica em cooperativa. A reclassificação de "cooperativa imprópria" ou "cooperativa de fachada" parte sempre de incongruências documentais.</w:t>
      </w:r>
    </w:p>
    <w:p>
      <w:pPr>
        <w:pStyle w:val="Heading3"/>
        <w:spacing w:after="120" w:before="180"/>
      </w:pPr>
      <w:r>
        <w:rPr>
          <w:rFonts w:ascii="Arial" w:cs="Arial" w:eastAsia="Arial" w:hAnsi="Arial"/>
          <w:b/>
          <w:bCs/>
          <w:color w:val="000000"/>
          <w:sz w:val="22"/>
          <w:szCs w:val="22"/>
        </w:rPr>
        <w:t xml:space="preserve">Procedimento de blindagem</w:t>
      </w:r>
    </w:p>
    <w:p>
      <w:pPr>
        <w:pStyle w:val="ListParagraph"/>
        <w:numPr>
          <w:ilvl w:val="0"/>
          <w:numId w:val="3"/>
        </w:numPr>
        <w:spacing w:after="80"/>
      </w:pPr>
      <w:r>
        <w:rPr>
          <w:rFonts w:ascii="Arial" w:cs="Arial" w:eastAsia="Arial" w:hAnsi="Arial"/>
          <w:sz w:val="22"/>
          <w:szCs w:val="22"/>
        </w:rPr>
        <w:t xml:space="preserve">Estatuto deve ser revisto por advogado especialista em direito cooperativo ANTES da primeira operação relevante. Sugestões de banca: Demarest, Mattos Filho, Brasil Salomão e Matthes, Rolim Goulart Cardoso, BMA - Barbosa Müssnich Aragão.</w:t>
      </w:r>
    </w:p>
    <w:p>
      <w:pPr>
        <w:pStyle w:val="ListParagraph"/>
        <w:numPr>
          <w:ilvl w:val="0"/>
          <w:numId w:val="3"/>
        </w:numPr>
        <w:spacing w:after="80"/>
      </w:pPr>
      <w:r>
        <w:rPr>
          <w:rFonts w:ascii="Arial" w:cs="Arial" w:eastAsia="Arial" w:hAnsi="Arial"/>
          <w:sz w:val="22"/>
          <w:szCs w:val="22"/>
        </w:rPr>
        <w:t xml:space="preserve">Estabelecer agenda anual fixa de Assembleia Geral Ordinária (AGO) e mantê-la rigorosamente — boa prática: AGO até 31 de março de cada ano para aprovação do exercício anterior.</w:t>
      </w:r>
    </w:p>
    <w:p>
      <w:pPr>
        <w:pStyle w:val="ListParagraph"/>
        <w:numPr>
          <w:ilvl w:val="0"/>
          <w:numId w:val="3"/>
        </w:numPr>
        <w:spacing w:after="80"/>
      </w:pPr>
      <w:r>
        <w:rPr>
          <w:rFonts w:ascii="Arial" w:cs="Arial" w:eastAsia="Arial" w:hAnsi="Arial"/>
          <w:sz w:val="22"/>
          <w:szCs w:val="22"/>
        </w:rPr>
        <w:t xml:space="preserve">Todas as atas devem ser registradas na JUCEB em até 30 dias da realização. Atas em livro físico OU em livro digital reconhecido pela JUCEB.</w:t>
      </w:r>
    </w:p>
    <w:p>
      <w:pPr>
        <w:pStyle w:val="ListParagraph"/>
        <w:numPr>
          <w:ilvl w:val="0"/>
          <w:numId w:val="3"/>
        </w:numPr>
        <w:spacing w:after="80"/>
      </w:pPr>
      <w:r>
        <w:rPr>
          <w:rFonts w:ascii="Arial" w:cs="Arial" w:eastAsia="Arial" w:hAnsi="Arial"/>
          <w:sz w:val="22"/>
          <w:szCs w:val="22"/>
        </w:rPr>
        <w:t xml:space="preserve">Manter cópias digitais autenticadas em sistema de gestão documental com hash de integridade.</w:t>
      </w:r>
    </w:p>
    <w:p>
      <w:pPr>
        <w:pStyle w:val="Heading2"/>
        <w:spacing w:after="160" w:before="240"/>
      </w:pPr>
      <w:r>
        <w:rPr>
          <w:rFonts w:ascii="Arial" w:cs="Arial" w:eastAsia="Arial" w:hAnsi="Arial"/>
          <w:b/>
          <w:bCs/>
          <w:color w:val="305496"/>
          <w:sz w:val="26"/>
          <w:szCs w:val="26"/>
        </w:rPr>
        <w:t xml:space="preserve">Ponto 4 — Proporcionalidade de operações com não-associados</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Toda cooperativa pode realizar operações com não-associados (Lei 5.764/71, arts. 85 e 86), mas em proporção MENOR que as operações com associados. Quando essa proporção se inverte, a cooperativa começa a se descaracterizar como sociedade cooperativa "típica" e pode ser reclassificada pelo Fisco como sociedade comercial comum.</w:t>
      </w:r>
    </w:p>
    <w:p>
      <w:pPr>
        <w:pStyle w:val="Heading3"/>
        <w:spacing w:after="120" w:before="180"/>
      </w:pPr>
      <w:r>
        <w:rPr>
          <w:rFonts w:ascii="Arial" w:cs="Arial" w:eastAsia="Arial" w:hAnsi="Arial"/>
          <w:b/>
          <w:bCs/>
          <w:color w:val="000000"/>
          <w:sz w:val="22"/>
          <w:szCs w:val="22"/>
        </w:rPr>
        <w:t xml:space="preserve">Onde está o limite quantitativo</w:t>
      </w:r>
    </w:p>
    <w:p>
      <w:pPr>
        <w:spacing w:after="100" w:before="0"/>
      </w:pPr>
      <w:r>
        <w:rPr>
          <w:rFonts w:ascii="Arial" w:cs="Arial" w:eastAsia="Arial" w:hAnsi="Arial"/>
          <w:sz w:val="22"/>
          <w:szCs w:val="22"/>
        </w:rPr>
        <w:t xml:space="preserve">A Lei 5.764/71 não fixa um percentual numérico exato. A jurisprudência e a prática fiscal trabalham com algumas balizas:</w:t>
      </w:r>
    </w:p>
    <w:p>
      <w:pPr>
        <w:pStyle w:val="ListParagraph"/>
        <w:numPr>
          <w:ilvl w:val="0"/>
          <w:numId w:val="2"/>
        </w:numPr>
        <w:spacing w:after="80"/>
      </w:pPr>
      <w:r>
        <w:rPr>
          <w:rFonts w:ascii="Arial" w:cs="Arial" w:eastAsia="Arial" w:hAnsi="Arial"/>
          <w:sz w:val="22"/>
          <w:szCs w:val="22"/>
        </w:rPr>
        <w:t xml:space="preserve">Posição mais conservadora (CARF, Solução de Consulta Cosit 196/2021 e correlatas): operações com não-associados não devem superar 30-35% do total da cooperativa para preservar plenamente o regime cooperativo.</w:t>
      </w:r>
    </w:p>
    <w:p>
      <w:pPr>
        <w:pStyle w:val="ListParagraph"/>
        <w:numPr>
          <w:ilvl w:val="0"/>
          <w:numId w:val="2"/>
        </w:numPr>
        <w:spacing w:after="80"/>
      </w:pPr>
      <w:r>
        <w:rPr>
          <w:rFonts w:ascii="Arial" w:cs="Arial" w:eastAsia="Arial" w:hAnsi="Arial"/>
          <w:sz w:val="22"/>
          <w:szCs w:val="22"/>
        </w:rPr>
        <w:t xml:space="preserve">Posição intermediária: até 50% é tolerável, desde que claramente justificado pela natureza da atividade e bem documentado.</w:t>
      </w:r>
    </w:p>
    <w:p>
      <w:pPr>
        <w:pStyle w:val="ListParagraph"/>
        <w:numPr>
          <w:ilvl w:val="0"/>
          <w:numId w:val="2"/>
        </w:numPr>
        <w:spacing w:after="80"/>
      </w:pPr>
      <w:r>
        <w:rPr>
          <w:rFonts w:ascii="Arial" w:cs="Arial" w:eastAsia="Arial" w:hAnsi="Arial"/>
          <w:sz w:val="22"/>
          <w:szCs w:val="22"/>
        </w:rPr>
        <w:t xml:space="preserve">Acima de 50%: alto risco de reclassificação pelo Fisco como sociedade empresária comum.</w:t>
      </w:r>
    </w:p>
    <w:p>
      <w:pPr>
        <w:spacing w:after="100" w:before="0"/>
      </w:pPr>
      <w:r>
        <w:rPr>
          <w:rFonts w:ascii="Arial" w:cs="Arial" w:eastAsia="Arial" w:hAnsi="Arial"/>
          <w:sz w:val="22"/>
          <w:szCs w:val="22"/>
        </w:rPr>
        <w:t xml:space="preserve">Atenção: o art. 86 da Lei 5.764/71 explicitamente permite operações com não-associados quando "atendam aos objetivos sociais" — ou seja, há margem interpretativa para casos específicos (ex.: cooperativa de transporte que aceita cargas de não-associados pontualmente para otimizar o backhaul).</w:t>
      </w:r>
    </w:p>
    <w:p>
      <w:pPr>
        <w:pStyle w:val="Heading3"/>
        <w:spacing w:after="120" w:before="180"/>
      </w:pPr>
      <w:r>
        <w:rPr>
          <w:rFonts w:ascii="Arial" w:cs="Arial" w:eastAsia="Arial" w:hAnsi="Arial"/>
          <w:b/>
          <w:bCs/>
          <w:color w:val="000000"/>
          <w:sz w:val="22"/>
          <w:szCs w:val="22"/>
        </w:rPr>
        <w:t xml:space="preserve">Procedimento de blindagem</w:t>
      </w:r>
    </w:p>
    <w:p>
      <w:pPr>
        <w:pStyle w:val="ListParagraph"/>
        <w:numPr>
          <w:ilvl w:val="0"/>
          <w:numId w:val="3"/>
        </w:numPr>
        <w:spacing w:after="80"/>
      </w:pPr>
      <w:r>
        <w:rPr>
          <w:rFonts w:ascii="Arial" w:cs="Arial" w:eastAsia="Arial" w:hAnsi="Arial"/>
          <w:sz w:val="22"/>
          <w:szCs w:val="22"/>
        </w:rPr>
        <w:t xml:space="preserve">Definir no estatuto o objetivo social com clareza e a prevalência das operações com associados.</w:t>
      </w:r>
    </w:p>
    <w:p>
      <w:pPr>
        <w:pStyle w:val="ListParagraph"/>
        <w:numPr>
          <w:ilvl w:val="0"/>
          <w:numId w:val="3"/>
        </w:numPr>
        <w:spacing w:after="80"/>
      </w:pPr>
      <w:r>
        <w:rPr>
          <w:rFonts w:ascii="Arial" w:cs="Arial" w:eastAsia="Arial" w:hAnsi="Arial"/>
          <w:sz w:val="22"/>
          <w:szCs w:val="22"/>
        </w:rPr>
        <w:t xml:space="preserve">Manter dashboard mensal de proporção: receita ato cooperado / receita total. Manter idealmente acima de 70%.</w:t>
      </w:r>
    </w:p>
    <w:p>
      <w:pPr>
        <w:pStyle w:val="ListParagraph"/>
        <w:numPr>
          <w:ilvl w:val="0"/>
          <w:numId w:val="3"/>
        </w:numPr>
        <w:spacing w:after="80"/>
      </w:pPr>
      <w:r>
        <w:rPr>
          <w:rFonts w:ascii="Arial" w:cs="Arial" w:eastAsia="Arial" w:hAnsi="Arial"/>
          <w:sz w:val="22"/>
          <w:szCs w:val="22"/>
        </w:rPr>
        <w:t xml:space="preserve">Quando uma operação com não-associado for relevante (&gt;10% do faturamento), documentar justificativa em ata de assembleia ou de conselho.</w:t>
      </w:r>
    </w:p>
    <w:p>
      <w:pPr>
        <w:pStyle w:val="ListParagraph"/>
        <w:numPr>
          <w:ilvl w:val="0"/>
          <w:numId w:val="3"/>
        </w:numPr>
        <w:spacing w:after="80"/>
      </w:pPr>
      <w:r>
        <w:rPr>
          <w:rFonts w:ascii="Arial" w:cs="Arial" w:eastAsia="Arial" w:hAnsi="Arial"/>
          <w:sz w:val="22"/>
          <w:szCs w:val="22"/>
        </w:rPr>
        <w:t xml:space="preserve">No caso da Brat: planejar para que a operação com Oleoplan SEJA o principal canal de "saída para o mercado" da cooperativa, MAS que a originação dos insumos venha 80%+ dos cooperados associados — assim o ato não-cooperativo (venda à Oleoplan) é o "fim natural" do ato cooperado (entrega do produtor à cooperativa).</w:t>
      </w:r>
    </w:p>
    <w:p>
      <w:pPr>
        <w:pStyle w:val="Heading2"/>
        <w:spacing w:after="160" w:before="240"/>
      </w:pPr>
      <w:r>
        <w:rPr>
          <w:rFonts w:ascii="Arial" w:cs="Arial" w:eastAsia="Arial" w:hAnsi="Arial"/>
          <w:b/>
          <w:bCs/>
          <w:color w:val="305496"/>
          <w:sz w:val="26"/>
          <w:szCs w:val="26"/>
        </w:rPr>
        <w:t xml:space="preserve">Ponto 5 — Reclassificação pela Receita Federal</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A Receita Federal tem o poder, com base no parágrafo único do art. 116 do CTN, de DESCONSIDERAR atos ou negócios jurídicos praticados com a finalidade de dissimular a ocorrência do fato gerador do tributo. Em cooperativismo, a tese mais usada pelo Fisco é a de que a cooperativa seria uma "sociedade comercial disfarçada" para fugir da tributação plena.</w:t>
      </w:r>
    </w:p>
    <w:p>
      <w:pPr>
        <w:pStyle w:val="Heading3"/>
        <w:spacing w:after="120" w:before="180"/>
      </w:pPr>
      <w:r>
        <w:rPr>
          <w:rFonts w:ascii="Arial" w:cs="Arial" w:eastAsia="Arial" w:hAnsi="Arial"/>
          <w:b/>
          <w:bCs/>
          <w:color w:val="000000"/>
          <w:sz w:val="22"/>
          <w:szCs w:val="22"/>
        </w:rPr>
        <w:t xml:space="preserve">Sintomas que disparam fiscalização específica</w:t>
      </w:r>
    </w:p>
    <w:p>
      <w:pPr>
        <w:pStyle w:val="ListParagraph"/>
        <w:numPr>
          <w:ilvl w:val="0"/>
          <w:numId w:val="2"/>
        </w:numPr>
        <w:spacing w:after="80"/>
      </w:pPr>
      <w:r>
        <w:rPr>
          <w:rFonts w:ascii="Arial" w:cs="Arial" w:eastAsia="Arial" w:hAnsi="Arial"/>
          <w:sz w:val="22"/>
          <w:szCs w:val="22"/>
        </w:rPr>
        <w:t xml:space="preserve">Contagem de cooperados desproporcional ao tamanho do faturamento (ex.: cooperativa que fatura R$ 50 mi/ano com apenas 5 cooperados é red flag).</w:t>
      </w:r>
    </w:p>
    <w:p>
      <w:pPr>
        <w:pStyle w:val="ListParagraph"/>
        <w:numPr>
          <w:ilvl w:val="0"/>
          <w:numId w:val="2"/>
        </w:numPr>
        <w:spacing w:after="80"/>
      </w:pPr>
      <w:r>
        <w:rPr>
          <w:rFonts w:ascii="Arial" w:cs="Arial" w:eastAsia="Arial" w:hAnsi="Arial"/>
          <w:sz w:val="22"/>
          <w:szCs w:val="22"/>
        </w:rPr>
        <w:t xml:space="preserve">Volume de operações com poucos clientes finais — concentração extrema de receita em 1-2 clientes pode indicar que a cooperativa é mero "instrumento de pass-through" sem genuína função econômica.</w:t>
      </w:r>
    </w:p>
    <w:p>
      <w:pPr>
        <w:pStyle w:val="ListParagraph"/>
        <w:numPr>
          <w:ilvl w:val="0"/>
          <w:numId w:val="2"/>
        </w:numPr>
        <w:spacing w:after="80"/>
      </w:pPr>
      <w:r>
        <w:rPr>
          <w:rFonts w:ascii="Arial" w:cs="Arial" w:eastAsia="Arial" w:hAnsi="Arial"/>
          <w:sz w:val="22"/>
          <w:szCs w:val="22"/>
        </w:rPr>
        <w:t xml:space="preserve">Cooperados que são parentes próximos uns dos outros ou dos administradores da cooperativa (sem que isso seja, por si só, ilegal — mas chama atenção).</w:t>
      </w:r>
    </w:p>
    <w:p>
      <w:pPr>
        <w:pStyle w:val="ListParagraph"/>
        <w:numPr>
          <w:ilvl w:val="0"/>
          <w:numId w:val="2"/>
        </w:numPr>
        <w:spacing w:after="80"/>
      </w:pPr>
      <w:r>
        <w:rPr>
          <w:rFonts w:ascii="Arial" w:cs="Arial" w:eastAsia="Arial" w:hAnsi="Arial"/>
          <w:sz w:val="22"/>
          <w:szCs w:val="22"/>
        </w:rPr>
        <w:t xml:space="preserve">Operações de "ida e volta" entre o mesmo cooperado e a cooperativa em curtos espaços de tempo (sintoma de planejamento agressivo).</w:t>
      </w:r>
    </w:p>
    <w:p>
      <w:pPr>
        <w:pStyle w:val="ListParagraph"/>
        <w:numPr>
          <w:ilvl w:val="0"/>
          <w:numId w:val="2"/>
        </w:numPr>
        <w:spacing w:after="80"/>
      </w:pPr>
      <w:r>
        <w:rPr>
          <w:rFonts w:ascii="Arial" w:cs="Arial" w:eastAsia="Arial" w:hAnsi="Arial"/>
          <w:sz w:val="22"/>
          <w:szCs w:val="22"/>
        </w:rPr>
        <w:t xml:space="preserve">Sobras nunca distribuídas (a cooperativa típica distribui sobras anualmente; cooperativa que acumula sobras por anos chama atenção).</w:t>
      </w:r>
    </w:p>
    <w:p>
      <w:pPr>
        <w:pStyle w:val="Heading3"/>
        <w:spacing w:after="120" w:before="180"/>
      </w:pPr>
      <w:r>
        <w:rPr>
          <w:rFonts w:ascii="Arial" w:cs="Arial" w:eastAsia="Arial" w:hAnsi="Arial"/>
          <w:b/>
          <w:bCs/>
          <w:color w:val="000000"/>
          <w:sz w:val="22"/>
          <w:szCs w:val="22"/>
        </w:rPr>
        <w:t xml:space="preserve">Como o Fisco constrói o caso</w:t>
      </w:r>
    </w:p>
    <w:p>
      <w:pPr>
        <w:pStyle w:val="ListParagraph"/>
        <w:numPr>
          <w:ilvl w:val="0"/>
          <w:numId w:val="3"/>
        </w:numPr>
        <w:spacing w:after="80"/>
      </w:pPr>
      <w:r>
        <w:rPr>
          <w:rFonts w:ascii="Arial" w:cs="Arial" w:eastAsia="Arial" w:hAnsi="Arial"/>
          <w:sz w:val="22"/>
          <w:szCs w:val="22"/>
        </w:rPr>
        <w:t xml:space="preserve">Fiscalização inicial via Receita Federal (federal) e SEFAZ-BA (estadual), com requisição de documentação completa.</w:t>
      </w:r>
    </w:p>
    <w:p>
      <w:pPr>
        <w:pStyle w:val="ListParagraph"/>
        <w:numPr>
          <w:ilvl w:val="0"/>
          <w:numId w:val="3"/>
        </w:numPr>
        <w:spacing w:after="80"/>
      </w:pPr>
      <w:r>
        <w:rPr>
          <w:rFonts w:ascii="Arial" w:cs="Arial" w:eastAsia="Arial" w:hAnsi="Arial"/>
          <w:sz w:val="22"/>
          <w:szCs w:val="22"/>
        </w:rPr>
        <w:t xml:space="preserve">Análise de proporção de atos cooperados vs. não-cooperados, conformidade do estatuto, genuinidade dos cooperados.</w:t>
      </w:r>
    </w:p>
    <w:p>
      <w:pPr>
        <w:pStyle w:val="ListParagraph"/>
        <w:numPr>
          <w:ilvl w:val="0"/>
          <w:numId w:val="3"/>
        </w:numPr>
        <w:spacing w:after="80"/>
      </w:pPr>
      <w:r>
        <w:rPr>
          <w:rFonts w:ascii="Arial" w:cs="Arial" w:eastAsia="Arial" w:hAnsi="Arial"/>
          <w:sz w:val="22"/>
          <w:szCs w:val="22"/>
        </w:rPr>
        <w:t xml:space="preserve">Em caso de não-conformidade: lavratura de Auto de Infração com cobrança de tributos retroativos (até 5 anos), juros Selic e multa de 75% (ou 150% qualificada).</w:t>
      </w:r>
    </w:p>
    <w:p>
      <w:pPr>
        <w:pStyle w:val="ListParagraph"/>
        <w:numPr>
          <w:ilvl w:val="0"/>
          <w:numId w:val="3"/>
        </w:numPr>
        <w:spacing w:after="80"/>
      </w:pPr>
      <w:r>
        <w:rPr>
          <w:rFonts w:ascii="Arial" w:cs="Arial" w:eastAsia="Arial" w:hAnsi="Arial"/>
          <w:sz w:val="22"/>
          <w:szCs w:val="22"/>
        </w:rPr>
        <w:t xml:space="preserve">Defesa administrativa via DRJ (Delegacia de Julgamento) e CARF (Conselho Administrativo de Recursos Fiscais).</w:t>
      </w:r>
    </w:p>
    <w:p>
      <w:pPr>
        <w:pStyle w:val="ListParagraph"/>
        <w:numPr>
          <w:ilvl w:val="0"/>
          <w:numId w:val="3"/>
        </w:numPr>
        <w:spacing w:after="80"/>
      </w:pPr>
      <w:r>
        <w:rPr>
          <w:rFonts w:ascii="Arial" w:cs="Arial" w:eastAsia="Arial" w:hAnsi="Arial"/>
          <w:sz w:val="22"/>
          <w:szCs w:val="22"/>
        </w:rPr>
        <w:t xml:space="preserve">Defesa judicial em última instância — média de duração: 5-8 anos.</w:t>
      </w:r>
    </w:p>
    <w:p>
      <w:pPr>
        <w:pStyle w:val="Heading3"/>
        <w:spacing w:after="120" w:before="180"/>
      </w:pPr>
      <w:r>
        <w:rPr>
          <w:rFonts w:ascii="Arial" w:cs="Arial" w:eastAsia="Arial" w:hAnsi="Arial"/>
          <w:b/>
          <w:bCs/>
          <w:color w:val="000000"/>
          <w:sz w:val="22"/>
          <w:szCs w:val="22"/>
        </w:rPr>
        <w:t xml:space="preserve">Procedimento de blindagem</w:t>
      </w:r>
    </w:p>
    <w:p>
      <w:pPr>
        <w:pStyle w:val="ListParagraph"/>
        <w:numPr>
          <w:ilvl w:val="0"/>
          <w:numId w:val="3"/>
        </w:numPr>
        <w:spacing w:after="80"/>
      </w:pPr>
      <w:r>
        <w:rPr>
          <w:rFonts w:ascii="Arial" w:cs="Arial" w:eastAsia="Arial" w:hAnsi="Arial"/>
          <w:sz w:val="22"/>
          <w:szCs w:val="22"/>
        </w:rPr>
        <w:t xml:space="preserve">Documentação dos contratos com cooperados deve ter substância econômica (volumes mínimos, prazos, condições, contraprestação real).</w:t>
      </w:r>
    </w:p>
    <w:p>
      <w:pPr>
        <w:pStyle w:val="ListParagraph"/>
        <w:numPr>
          <w:ilvl w:val="0"/>
          <w:numId w:val="3"/>
        </w:numPr>
        <w:spacing w:after="80"/>
      </w:pPr>
      <w:r>
        <w:rPr>
          <w:rFonts w:ascii="Arial" w:cs="Arial" w:eastAsia="Arial" w:hAnsi="Arial"/>
          <w:sz w:val="22"/>
          <w:szCs w:val="22"/>
        </w:rPr>
        <w:t xml:space="preserve">Reuniões periódicas (semestrais) entre cooperados — assembleias gerais e reuniões setoriais com pauta documentada.</w:t>
      </w:r>
    </w:p>
    <w:p>
      <w:pPr>
        <w:pStyle w:val="ListParagraph"/>
        <w:numPr>
          <w:ilvl w:val="0"/>
          <w:numId w:val="3"/>
        </w:numPr>
        <w:spacing w:after="80"/>
      </w:pPr>
      <w:r>
        <w:rPr>
          <w:rFonts w:ascii="Arial" w:cs="Arial" w:eastAsia="Arial" w:hAnsi="Arial"/>
          <w:sz w:val="22"/>
          <w:szCs w:val="22"/>
        </w:rPr>
        <w:t xml:space="preserve">Distribuição anual de sobras aos cooperados, mesmo que pequena — comprova que a cooperativa cumpre sua função econômica.</w:t>
      </w:r>
    </w:p>
    <w:p>
      <w:pPr>
        <w:pStyle w:val="ListParagraph"/>
        <w:numPr>
          <w:ilvl w:val="0"/>
          <w:numId w:val="3"/>
        </w:numPr>
        <w:spacing w:after="80"/>
      </w:pPr>
      <w:r>
        <w:rPr>
          <w:rFonts w:ascii="Arial" w:cs="Arial" w:eastAsia="Arial" w:hAnsi="Arial"/>
          <w:sz w:val="22"/>
          <w:szCs w:val="22"/>
        </w:rPr>
        <w:t xml:space="preserve">Comunicação clara da cooperativa ao mercado: site institucional, identidade visual cooperativa, comunicação aos cooperados, prestação de contas pública.</w:t>
      </w:r>
    </w:p>
    <w:p>
      <w:pPr>
        <w:pStyle w:val="Heading2"/>
        <w:spacing w:after="160" w:before="240"/>
      </w:pPr>
      <w:r>
        <w:rPr>
          <w:rFonts w:ascii="Arial" w:cs="Arial" w:eastAsia="Arial" w:hAnsi="Arial"/>
          <w:b/>
          <w:bCs/>
          <w:color w:val="305496"/>
          <w:sz w:val="26"/>
          <w:szCs w:val="26"/>
        </w:rPr>
        <w:t xml:space="preserve">Ponto 6 — Documentação ambiental específica (caso lenha e produtos florestais)</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Para o caso específico do fornecimento de lenha (MVP #9 do dossiê), a cooperativa florestal tem que cumprir simultaneamente o regime tributário cooperativo E o regime ambiental florestal — que tem suas próprias regras e autoridades fiscalizadoras (INEMA-BA e IBAMA).</w:t>
      </w:r>
    </w:p>
    <w:p>
      <w:pPr>
        <w:pStyle w:val="Heading3"/>
        <w:spacing w:after="120" w:before="180"/>
      </w:pPr>
      <w:r>
        <w:rPr>
          <w:rFonts w:ascii="Arial" w:cs="Arial" w:eastAsia="Arial" w:hAnsi="Arial"/>
          <w:b/>
          <w:bCs/>
          <w:color w:val="000000"/>
          <w:sz w:val="22"/>
          <w:szCs w:val="22"/>
        </w:rPr>
        <w:t xml:space="preserve">Documentos ambientais obrigatórios</w:t>
      </w:r>
    </w:p>
    <w:p>
      <w:pPr>
        <w:pStyle w:val="ListParagraph"/>
        <w:numPr>
          <w:ilvl w:val="0"/>
          <w:numId w:val="2"/>
        </w:numPr>
        <w:spacing w:after="80"/>
      </w:pPr>
      <w:r>
        <w:rPr>
          <w:rFonts w:ascii="Arial" w:cs="Arial" w:eastAsia="Arial" w:hAnsi="Arial"/>
          <w:sz w:val="22"/>
          <w:szCs w:val="22"/>
        </w:rPr>
        <w:t xml:space="preserve">CAR (Cadastro Ambiental Rural) de cada propriedade fornecedora — Lei 12.651/2012.</w:t>
      </w:r>
    </w:p>
    <w:p>
      <w:pPr>
        <w:pStyle w:val="ListParagraph"/>
        <w:numPr>
          <w:ilvl w:val="0"/>
          <w:numId w:val="2"/>
        </w:numPr>
        <w:spacing w:after="80"/>
      </w:pPr>
      <w:r>
        <w:rPr>
          <w:rFonts w:ascii="Arial" w:cs="Arial" w:eastAsia="Arial" w:hAnsi="Arial"/>
          <w:sz w:val="22"/>
          <w:szCs w:val="22"/>
        </w:rPr>
        <w:t xml:space="preserve">PMFS (Plano de Manejo Florestal Sustentável) aprovado pelo INEMA, quando a lenha vier de vegetação nativa de caatinga em manejo legal.</w:t>
      </w:r>
    </w:p>
    <w:p>
      <w:pPr>
        <w:pStyle w:val="ListParagraph"/>
        <w:numPr>
          <w:ilvl w:val="0"/>
          <w:numId w:val="2"/>
        </w:numPr>
        <w:spacing w:after="80"/>
      </w:pPr>
      <w:r>
        <w:rPr>
          <w:rFonts w:ascii="Arial" w:cs="Arial" w:eastAsia="Arial" w:hAnsi="Arial"/>
          <w:sz w:val="22"/>
          <w:szCs w:val="22"/>
        </w:rPr>
        <w:t xml:space="preserve">Para reflorestamento (eucalipto, pinus): registro do plantio no SIBT (Sistema de Informações da Biota Terrestre) e licença de operação.</w:t>
      </w:r>
    </w:p>
    <w:p>
      <w:pPr>
        <w:pStyle w:val="ListParagraph"/>
        <w:numPr>
          <w:ilvl w:val="0"/>
          <w:numId w:val="2"/>
        </w:numPr>
        <w:spacing w:after="80"/>
      </w:pPr>
      <w:r>
        <w:rPr>
          <w:rFonts w:ascii="Arial" w:cs="Arial" w:eastAsia="Arial" w:hAnsi="Arial"/>
          <w:sz w:val="22"/>
          <w:szCs w:val="22"/>
        </w:rPr>
        <w:t xml:space="preserve">DOF (Documento de Origem Florestal) emitido no SISFLORA (sistema federal IBAMA) ou no SISFLORA-BA — obrigatório a CADA carga transportada. Sem DOF, a carga é considerada irregular e pode ser apreendida na estrada.</w:t>
      </w:r>
    </w:p>
    <w:p>
      <w:pPr>
        <w:pStyle w:val="ListParagraph"/>
        <w:numPr>
          <w:ilvl w:val="0"/>
          <w:numId w:val="2"/>
        </w:numPr>
        <w:spacing w:after="80"/>
      </w:pPr>
      <w:r>
        <w:rPr>
          <w:rFonts w:ascii="Arial" w:cs="Arial" w:eastAsia="Arial" w:hAnsi="Arial"/>
          <w:sz w:val="22"/>
          <w:szCs w:val="22"/>
        </w:rPr>
        <w:t xml:space="preserve">ART (Anotação de Responsabilidade Técnica) de engenheiro florestal CREA-BA, vinculada ao manejo.</w:t>
      </w:r>
    </w:p>
    <w:p>
      <w:pPr>
        <w:pStyle w:val="ListParagraph"/>
        <w:numPr>
          <w:ilvl w:val="0"/>
          <w:numId w:val="2"/>
        </w:numPr>
        <w:spacing w:after="80"/>
      </w:pPr>
      <w:r>
        <w:rPr>
          <w:rFonts w:ascii="Arial" w:cs="Arial" w:eastAsia="Arial" w:hAnsi="Arial"/>
          <w:sz w:val="22"/>
          <w:szCs w:val="22"/>
        </w:rPr>
        <w:t xml:space="preserve">Comprovante de regularidade ambiental do imóvel rural — sem multas pendentes do IBAMA/INEMA.</w:t>
      </w:r>
    </w:p>
    <w:p>
      <w:pPr>
        <w:pStyle w:val="Heading3"/>
        <w:spacing w:after="120" w:before="180"/>
      </w:pPr>
      <w:r>
        <w:rPr>
          <w:rFonts w:ascii="Arial" w:cs="Arial" w:eastAsia="Arial" w:hAnsi="Arial"/>
          <w:b/>
          <w:bCs/>
          <w:color w:val="000000"/>
          <w:sz w:val="22"/>
          <w:szCs w:val="22"/>
        </w:rPr>
        <w:t xml:space="preserve">Risco-tributário ambiental cruzado</w:t>
      </w:r>
    </w:p>
    <w:p>
      <w:pPr>
        <w:spacing w:after="100" w:before="0"/>
      </w:pPr>
      <w:r>
        <w:rPr>
          <w:rFonts w:ascii="Arial" w:cs="Arial" w:eastAsia="Arial" w:hAnsi="Arial"/>
          <w:sz w:val="22"/>
          <w:szCs w:val="22"/>
        </w:rPr>
        <w:t xml:space="preserve">Se uma carga de lenha for autuada por irregularidade ambiental (ex.: DOF inválido, manejo sem PMFS), o auto de infração ambiental pode CONTAMINAR a tese tributária: o Fisco pode argumentar que a operação cooperativa é "irregular na origem" e desqualificar todos os benefícios fiscais, agora pelo viés de fraude por origem ilícita do bem.</w:t>
      </w:r>
    </w:p>
    <w:p>
      <w:pPr>
        <w:pStyle w:val="Heading3"/>
        <w:spacing w:after="120" w:before="180"/>
      </w:pPr>
      <w:r>
        <w:rPr>
          <w:rFonts w:ascii="Arial" w:cs="Arial" w:eastAsia="Arial" w:hAnsi="Arial"/>
          <w:b/>
          <w:bCs/>
          <w:color w:val="000000"/>
          <w:sz w:val="22"/>
          <w:szCs w:val="22"/>
        </w:rPr>
        <w:t xml:space="preserve">Procedimento de blindagem</w:t>
      </w:r>
    </w:p>
    <w:p>
      <w:pPr>
        <w:pStyle w:val="ListParagraph"/>
        <w:numPr>
          <w:ilvl w:val="0"/>
          <w:numId w:val="3"/>
        </w:numPr>
        <w:spacing w:after="80"/>
      </w:pPr>
      <w:r>
        <w:rPr>
          <w:rFonts w:ascii="Arial" w:cs="Arial" w:eastAsia="Arial" w:hAnsi="Arial"/>
          <w:sz w:val="22"/>
          <w:szCs w:val="22"/>
        </w:rPr>
        <w:t xml:space="preserve">Estabelecer PROTOCOLO PRÉ-CARGA: nenhuma lenha sai do produtor sem DOF emitido, conferido digitalmente pela cooperativa, e nenhuma chega à Oleoplan sem segunda conferência na portaria.</w:t>
      </w:r>
    </w:p>
    <w:p>
      <w:pPr>
        <w:pStyle w:val="ListParagraph"/>
        <w:numPr>
          <w:ilvl w:val="0"/>
          <w:numId w:val="3"/>
        </w:numPr>
        <w:spacing w:after="80"/>
      </w:pPr>
      <w:r>
        <w:rPr>
          <w:rFonts w:ascii="Arial" w:cs="Arial" w:eastAsia="Arial" w:hAnsi="Arial"/>
          <w:sz w:val="22"/>
          <w:szCs w:val="22"/>
        </w:rPr>
        <w:t xml:space="preserve">Sistema de rastreabilidade — cada carga com QR-code linkando produtor, CAR, DOF, ART, motorista, placa do caminhão, hora e GPS de saída e chegada.</w:t>
      </w:r>
    </w:p>
    <w:p>
      <w:pPr>
        <w:pStyle w:val="ListParagraph"/>
        <w:numPr>
          <w:ilvl w:val="0"/>
          <w:numId w:val="3"/>
        </w:numPr>
        <w:spacing w:after="80"/>
      </w:pPr>
      <w:r>
        <w:rPr>
          <w:rFonts w:ascii="Arial" w:cs="Arial" w:eastAsia="Arial" w:hAnsi="Arial"/>
          <w:sz w:val="22"/>
          <w:szCs w:val="22"/>
        </w:rPr>
        <w:t xml:space="preserve">Auditoria semestral por engenheiro florestal independente em todos os fornecedores cooperados.</w:t>
      </w:r>
    </w:p>
    <w:p>
      <w:pPr>
        <w:pStyle w:val="ListParagraph"/>
        <w:numPr>
          <w:ilvl w:val="0"/>
          <w:numId w:val="3"/>
        </w:numPr>
        <w:spacing w:after="80"/>
      </w:pPr>
      <w:r>
        <w:rPr>
          <w:rFonts w:ascii="Arial" w:cs="Arial" w:eastAsia="Arial" w:hAnsi="Arial"/>
          <w:sz w:val="22"/>
          <w:szCs w:val="22"/>
        </w:rPr>
        <w:t xml:space="preserve">Contratualmente, transferir ao cooperado a responsabilidade civil pela origem do produto, sem prejuízo da responsabilidade solidária da cooperativa em caso de fraude (típica em contratos de fornecimento).</w:t>
      </w:r>
    </w:p>
    <w:p>
      <w:pPr>
        <w:pStyle w:val="Heading2"/>
        <w:spacing w:after="160" w:before="240"/>
      </w:pPr>
      <w:r>
        <w:rPr>
          <w:rFonts w:ascii="Arial" w:cs="Arial" w:eastAsia="Arial" w:hAnsi="Arial"/>
          <w:b/>
          <w:bCs/>
          <w:color w:val="305496"/>
          <w:sz w:val="26"/>
          <w:szCs w:val="26"/>
        </w:rPr>
        <w:t xml:space="preserve">Ponto 7 — Regulamentação infralegal em transição (Decreto 12.955/2026 e Resolução CGIBS 6/2026)</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A LC 214/2025 estabeleceu o arcabouço, mas delegou a regulamentação detalhada para atos infralegais que estão sendo editados em ondas a partir de 2025. Os dois principais atos publicados em 30 de abril de 2026 são:</w:t>
      </w:r>
    </w:p>
    <w:p>
      <w:pPr>
        <w:pStyle w:val="ListParagraph"/>
        <w:numPr>
          <w:ilvl w:val="0"/>
          <w:numId w:val="2"/>
        </w:numPr>
        <w:spacing w:after="80"/>
      </w:pPr>
      <w:r>
        <w:rPr>
          <w:rFonts w:ascii="Arial" w:cs="Arial" w:eastAsia="Arial" w:hAnsi="Arial"/>
          <w:sz w:val="22"/>
          <w:szCs w:val="22"/>
        </w:rPr>
        <w:t xml:space="preserve">Decreto Federal nº 12.955/2026 — Regulamento da CBS, com 620 artigos e 5 anexos. Detalha todas as regras de apuração, escrituração, créditos, regimes específicos federais.</w:t>
      </w:r>
    </w:p>
    <w:p>
      <w:pPr>
        <w:pStyle w:val="ListParagraph"/>
        <w:numPr>
          <w:ilvl w:val="0"/>
          <w:numId w:val="2"/>
        </w:numPr>
        <w:spacing w:after="80"/>
      </w:pPr>
      <w:r>
        <w:rPr>
          <w:rFonts w:ascii="Arial" w:cs="Arial" w:eastAsia="Arial" w:hAnsi="Arial"/>
          <w:sz w:val="22"/>
          <w:szCs w:val="22"/>
        </w:rPr>
        <w:t xml:space="preserve">Resolução CGIBS nº 6/2026 — Regulamento do IBS, com 617 artigos e 5 anexos. Detalha as regras estaduais e municipais. Foi necessária por ser o IBS de competência compartilhada — não cabia decreto federal, daí a Resolução do Comitê Gestor.</w:t>
      </w:r>
    </w:p>
    <w:p>
      <w:pPr>
        <w:pStyle w:val="ListParagraph"/>
        <w:numPr>
          <w:ilvl w:val="0"/>
          <w:numId w:val="2"/>
        </w:numPr>
        <w:spacing w:after="80"/>
      </w:pPr>
      <w:r>
        <w:rPr>
          <w:rFonts w:ascii="Arial" w:cs="Arial" w:eastAsia="Arial" w:hAnsi="Arial"/>
          <w:sz w:val="22"/>
          <w:szCs w:val="22"/>
        </w:rPr>
        <w:t xml:space="preserve">Portaria Conjunta MF/CGIBS nº 7/2026 — formalizou as disposições comuns entre os dois regulamentos.</w:t>
      </w:r>
    </w:p>
    <w:p>
      <w:pPr>
        <w:pStyle w:val="Heading3"/>
        <w:spacing w:after="120" w:before="180"/>
      </w:pPr>
      <w:r>
        <w:rPr>
          <w:rFonts w:ascii="Arial" w:cs="Arial" w:eastAsia="Arial" w:hAnsi="Arial"/>
          <w:b/>
          <w:bCs/>
          <w:color w:val="000000"/>
          <w:sz w:val="22"/>
          <w:szCs w:val="22"/>
        </w:rPr>
        <w:t xml:space="preserve">Por que isso importa para a Brat</w:t>
      </w:r>
    </w:p>
    <w:p>
      <w:pPr>
        <w:spacing w:after="100" w:before="0"/>
      </w:pPr>
      <w:r>
        <w:rPr>
          <w:rFonts w:ascii="Arial" w:cs="Arial" w:eastAsia="Arial" w:hAnsi="Arial"/>
          <w:sz w:val="22"/>
          <w:szCs w:val="22"/>
        </w:rPr>
        <w:t xml:space="preserve">Esses atos infralegais detalham, entre outros aspectos:</w:t>
      </w:r>
    </w:p>
    <w:p>
      <w:pPr>
        <w:pStyle w:val="ListParagraph"/>
        <w:numPr>
          <w:ilvl w:val="0"/>
          <w:numId w:val="2"/>
        </w:numPr>
        <w:spacing w:after="80"/>
      </w:pPr>
      <w:r>
        <w:rPr>
          <w:rFonts w:ascii="Arial" w:cs="Arial" w:eastAsia="Arial" w:hAnsi="Arial"/>
          <w:sz w:val="22"/>
          <w:szCs w:val="22"/>
        </w:rPr>
        <w:t xml:space="preserve">Como deve ser feita a opção formal pelo regime do art. 271 (formulário, prazo, sistema).</w:t>
      </w:r>
    </w:p>
    <w:p>
      <w:pPr>
        <w:pStyle w:val="ListParagraph"/>
        <w:numPr>
          <w:ilvl w:val="0"/>
          <w:numId w:val="2"/>
        </w:numPr>
        <w:spacing w:after="80"/>
      </w:pPr>
      <w:r>
        <w:rPr>
          <w:rFonts w:ascii="Arial" w:cs="Arial" w:eastAsia="Arial" w:hAnsi="Arial"/>
          <w:sz w:val="22"/>
          <w:szCs w:val="22"/>
        </w:rPr>
        <w:t xml:space="preserve">Como se calcula o rateio de créditos entre atos cooperados e não-cooperados.</w:t>
      </w:r>
    </w:p>
    <w:p>
      <w:pPr>
        <w:pStyle w:val="ListParagraph"/>
        <w:numPr>
          <w:ilvl w:val="0"/>
          <w:numId w:val="2"/>
        </w:numPr>
        <w:spacing w:after="80"/>
      </w:pPr>
      <w:r>
        <w:rPr>
          <w:rFonts w:ascii="Arial" w:cs="Arial" w:eastAsia="Arial" w:hAnsi="Arial"/>
          <w:sz w:val="22"/>
          <w:szCs w:val="22"/>
        </w:rPr>
        <w:t xml:space="preserve">Quais documentos fiscais devem ser emitidos com qual CST (Código de Situação Tributária).</w:t>
      </w:r>
    </w:p>
    <w:p>
      <w:pPr>
        <w:pStyle w:val="ListParagraph"/>
        <w:numPr>
          <w:ilvl w:val="0"/>
          <w:numId w:val="2"/>
        </w:numPr>
        <w:spacing w:after="80"/>
      </w:pPr>
      <w:r>
        <w:rPr>
          <w:rFonts w:ascii="Arial" w:cs="Arial" w:eastAsia="Arial" w:hAnsi="Arial"/>
          <w:sz w:val="22"/>
          <w:szCs w:val="22"/>
        </w:rPr>
        <w:t xml:space="preserve">Como a cooperativa transfere os créditos do art. 272 (mecanismo eletrônico via NF-e ou via apuração mensal).</w:t>
      </w:r>
    </w:p>
    <w:p>
      <w:pPr>
        <w:pStyle w:val="ListParagraph"/>
        <w:numPr>
          <w:ilvl w:val="0"/>
          <w:numId w:val="2"/>
        </w:numPr>
        <w:spacing w:after="80"/>
      </w:pPr>
      <w:r>
        <w:rPr>
          <w:rFonts w:ascii="Arial" w:cs="Arial" w:eastAsia="Arial" w:hAnsi="Arial"/>
          <w:sz w:val="22"/>
          <w:szCs w:val="22"/>
        </w:rPr>
        <w:t xml:space="preserve">Como funciona o split payment para operações cooperativas.</w:t>
      </w:r>
    </w:p>
    <w:p>
      <w:pPr>
        <w:spacing w:after="100" w:before="0"/>
      </w:pPr>
      <w:r>
        <w:rPr>
          <w:rFonts w:ascii="Arial" w:cs="Arial" w:eastAsia="Arial" w:hAnsi="Arial"/>
          <w:sz w:val="22"/>
          <w:szCs w:val="22"/>
        </w:rPr>
        <w:t xml:space="preserve">Há um cronograma de FLEXIBILIZAÇÃO DE PENALIDADES: até 1º de agosto de 2026, o descumprimento de obrigações acessórias gera apenas notificação corretiva; a partir de 1º de agosto de 2026, multas plenas. Ou seja, a Brat tem aproximadamente 90 dias a partir da publicação dos regulamentos para se adequar sem ônus.</w:t>
      </w:r>
    </w:p>
    <w:p>
      <w:pPr>
        <w:shd w:fill="FFF2CC" w:val="clear"/>
        <w:spacing w:after="120" w:before="120"/>
      </w:pPr>
      <w:r>
        <w:rPr>
          <w:rFonts w:ascii="Arial" w:cs="Arial" w:eastAsia="Arial" w:hAnsi="Arial"/>
          <w:b/>
          <w:bCs/>
          <w:color w:val="C00000"/>
          <w:sz w:val="22"/>
          <w:szCs w:val="22"/>
        </w:rPr>
        <w:t xml:space="preserve">AÇÃO IMEDIATA: a partir de hoje (maio/2026) a Brat tem aproximadamente 3 meses para validar todos os processos fiscais à luz dos novos regulamentos. Recomenda-se contratar consultoria tributária especializada para AUDITORIA DE CONFORMIDADE imediata. Custo estimado: R$ 30-60 mil para uma cooperativa pequena/média.</w:t>
      </w:r>
    </w:p>
    <w:p>
      <w:pPr>
        <w:pStyle w:val="Heading2"/>
        <w:spacing w:after="160" w:before="240"/>
      </w:pPr>
      <w:r>
        <w:rPr>
          <w:rFonts w:ascii="Arial" w:cs="Arial" w:eastAsia="Arial" w:hAnsi="Arial"/>
          <w:b/>
          <w:bCs/>
          <w:color w:val="305496"/>
          <w:sz w:val="26"/>
          <w:szCs w:val="26"/>
        </w:rPr>
        <w:t xml:space="preserve">Ponto 8 — Auditoria externa e governança</w:t>
      </w:r>
    </w:p>
    <w:p>
      <w:pPr>
        <w:pStyle w:val="Heading3"/>
        <w:spacing w:after="120" w:before="180"/>
      </w:pPr>
      <w:r>
        <w:rPr>
          <w:rFonts w:ascii="Arial" w:cs="Arial" w:eastAsia="Arial" w:hAnsi="Arial"/>
          <w:b/>
          <w:bCs/>
          <w:color w:val="000000"/>
          <w:sz w:val="22"/>
          <w:szCs w:val="22"/>
        </w:rPr>
        <w:t xml:space="preserve">O que é</w:t>
      </w:r>
    </w:p>
    <w:p>
      <w:pPr>
        <w:spacing w:after="100" w:before="0"/>
      </w:pPr>
      <w:r>
        <w:rPr>
          <w:rFonts w:ascii="Arial" w:cs="Arial" w:eastAsia="Arial" w:hAnsi="Arial"/>
          <w:sz w:val="22"/>
          <w:szCs w:val="22"/>
        </w:rPr>
        <w:t xml:space="preserve">Cooperativas com faturamento expressivo e operações tributárias de risco médio-alto se beneficiam significativamente de auditoria contábil externa anual, mesmo quando esta não é obrigatória por lei. A auditoria externa é a melhor blindagem em fiscalização — quando o auditor externo reconhecido emite parecer sem ressalvas, o ônus probatório do Fisco aumenta significativamente.</w:t>
      </w:r>
    </w:p>
    <w:p>
      <w:pPr>
        <w:pStyle w:val="Heading3"/>
        <w:spacing w:after="120" w:before="180"/>
      </w:pPr>
      <w:r>
        <w:rPr>
          <w:rFonts w:ascii="Arial" w:cs="Arial" w:eastAsia="Arial" w:hAnsi="Arial"/>
          <w:b/>
          <w:bCs/>
          <w:color w:val="000000"/>
          <w:sz w:val="22"/>
          <w:szCs w:val="22"/>
        </w:rPr>
        <w:t xml:space="preserve">Quando passa a ser obrigatória</w:t>
      </w:r>
    </w:p>
    <w:p>
      <w:pPr>
        <w:pStyle w:val="ListParagraph"/>
        <w:numPr>
          <w:ilvl w:val="0"/>
          <w:numId w:val="2"/>
        </w:numPr>
        <w:spacing w:after="80"/>
      </w:pPr>
      <w:r>
        <w:rPr>
          <w:rFonts w:ascii="Arial" w:cs="Arial" w:eastAsia="Arial" w:hAnsi="Arial"/>
          <w:sz w:val="22"/>
          <w:szCs w:val="22"/>
        </w:rPr>
        <w:t xml:space="preserve">Cooperativa com faturamento bruto anual acima de R$ 78 milhões (Lei 11.638/2007 — equipara grandes sociedades a S/A para fins de auditoria).</w:t>
      </w:r>
    </w:p>
    <w:p>
      <w:pPr>
        <w:pStyle w:val="ListParagraph"/>
        <w:numPr>
          <w:ilvl w:val="0"/>
          <w:numId w:val="2"/>
        </w:numPr>
        <w:spacing w:after="80"/>
      </w:pPr>
      <w:r>
        <w:rPr>
          <w:rFonts w:ascii="Arial" w:cs="Arial" w:eastAsia="Arial" w:hAnsi="Arial"/>
          <w:sz w:val="22"/>
          <w:szCs w:val="22"/>
        </w:rPr>
        <w:t xml:space="preserve">Cooperativa de crédito (sempre obrigatória, regulada pelo Banco Central).</w:t>
      </w:r>
    </w:p>
    <w:p>
      <w:pPr>
        <w:pStyle w:val="ListParagraph"/>
        <w:numPr>
          <w:ilvl w:val="0"/>
          <w:numId w:val="2"/>
        </w:numPr>
        <w:spacing w:after="80"/>
      </w:pPr>
      <w:r>
        <w:rPr>
          <w:rFonts w:ascii="Arial" w:cs="Arial" w:eastAsia="Arial" w:hAnsi="Arial"/>
          <w:sz w:val="22"/>
          <w:szCs w:val="22"/>
        </w:rPr>
        <w:t xml:space="preserve">Cooperativa que emite títulos de dívida no mercado de capitais.</w:t>
      </w:r>
    </w:p>
    <w:p>
      <w:pPr>
        <w:pStyle w:val="Heading3"/>
        <w:spacing w:after="120" w:before="180"/>
      </w:pPr>
      <w:r>
        <w:rPr>
          <w:rFonts w:ascii="Arial" w:cs="Arial" w:eastAsia="Arial" w:hAnsi="Arial"/>
          <w:b/>
          <w:bCs/>
          <w:color w:val="000000"/>
          <w:sz w:val="22"/>
          <w:szCs w:val="22"/>
        </w:rPr>
        <w:t xml:space="preserve">Quando vale a pena fazer mesmo sem ser obrigatório</w:t>
      </w:r>
    </w:p>
    <w:p>
      <w:pPr>
        <w:pStyle w:val="ListParagraph"/>
        <w:numPr>
          <w:ilvl w:val="0"/>
          <w:numId w:val="2"/>
        </w:numPr>
        <w:spacing w:after="80"/>
      </w:pPr>
      <w:r>
        <w:rPr>
          <w:rFonts w:ascii="Arial" w:cs="Arial" w:eastAsia="Arial" w:hAnsi="Arial"/>
          <w:sz w:val="22"/>
          <w:szCs w:val="22"/>
        </w:rPr>
        <w:t xml:space="preserve">Faturamento entre R$ 10 mi e R$ 78 mi/ano: recomendado.</w:t>
      </w:r>
    </w:p>
    <w:p>
      <w:pPr>
        <w:pStyle w:val="ListParagraph"/>
        <w:numPr>
          <w:ilvl w:val="0"/>
          <w:numId w:val="2"/>
        </w:numPr>
        <w:spacing w:after="80"/>
      </w:pPr>
      <w:r>
        <w:rPr>
          <w:rFonts w:ascii="Arial" w:cs="Arial" w:eastAsia="Arial" w:hAnsi="Arial"/>
          <w:sz w:val="22"/>
          <w:szCs w:val="22"/>
        </w:rPr>
        <w:t xml:space="preserve">Operações tributárias agressivas ou recém-implementadas: recomendado já no primeiro ano.</w:t>
      </w:r>
    </w:p>
    <w:p>
      <w:pPr>
        <w:pStyle w:val="ListParagraph"/>
        <w:numPr>
          <w:ilvl w:val="0"/>
          <w:numId w:val="2"/>
        </w:numPr>
        <w:spacing w:after="80"/>
      </w:pPr>
      <w:r>
        <w:rPr>
          <w:rFonts w:ascii="Arial" w:cs="Arial" w:eastAsia="Arial" w:hAnsi="Arial"/>
          <w:sz w:val="22"/>
          <w:szCs w:val="22"/>
        </w:rPr>
        <w:t xml:space="preserve">Operações com cliente AAA que exija demonstrações auditadas para homologação como fornecedor (caso típico — Oleoplan provavelmente exigirá).</w:t>
      </w:r>
    </w:p>
    <w:p>
      <w:pPr>
        <w:pStyle w:val="Heading3"/>
        <w:spacing w:after="120" w:before="180"/>
      </w:pPr>
      <w:r>
        <w:rPr>
          <w:rFonts w:ascii="Arial" w:cs="Arial" w:eastAsia="Arial" w:hAnsi="Arial"/>
          <w:b/>
          <w:bCs/>
          <w:color w:val="000000"/>
          <w:sz w:val="22"/>
          <w:szCs w:val="22"/>
        </w:rPr>
        <w:t xml:space="preserve">Bancas recomendadas (auditoria contábil + parecer fiscal)</w:t>
      </w:r>
    </w:p>
    <w:p>
      <w:pPr>
        <w:pStyle w:val="ListParagraph"/>
        <w:numPr>
          <w:ilvl w:val="0"/>
          <w:numId w:val="2"/>
        </w:numPr>
        <w:spacing w:after="80"/>
      </w:pPr>
      <w:r>
        <w:rPr>
          <w:rFonts w:ascii="Arial" w:cs="Arial" w:eastAsia="Arial" w:hAnsi="Arial"/>
          <w:sz w:val="22"/>
          <w:szCs w:val="22"/>
        </w:rPr>
        <w:t xml:space="preserve">Big Four: PwC, Deloitte, KPMG, EY — caro, mas o "selo" tem peso máximo.</w:t>
      </w:r>
    </w:p>
    <w:p>
      <w:pPr>
        <w:pStyle w:val="ListParagraph"/>
        <w:numPr>
          <w:ilvl w:val="0"/>
          <w:numId w:val="2"/>
        </w:numPr>
        <w:spacing w:after="80"/>
      </w:pPr>
      <w:r>
        <w:rPr>
          <w:rFonts w:ascii="Arial" w:cs="Arial" w:eastAsia="Arial" w:hAnsi="Arial"/>
          <w:sz w:val="22"/>
          <w:szCs w:val="22"/>
        </w:rPr>
        <w:t xml:space="preserve">Médio porte com competência cooperativa: BDO, Grant Thornton, Mazars, Crowe.</w:t>
      </w:r>
    </w:p>
    <w:p>
      <w:pPr>
        <w:pStyle w:val="ListParagraph"/>
        <w:numPr>
          <w:ilvl w:val="0"/>
          <w:numId w:val="2"/>
        </w:numPr>
        <w:spacing w:after="80"/>
      </w:pPr>
      <w:r>
        <w:rPr>
          <w:rFonts w:ascii="Arial" w:cs="Arial" w:eastAsia="Arial" w:hAnsi="Arial"/>
          <w:sz w:val="22"/>
          <w:szCs w:val="22"/>
        </w:rPr>
        <w:t xml:space="preserve">Locais e regionais com forte expertise cooperativa na BA: KPMG-BA, EY-BA, escritórios vinculados ao Sescoop-BA.</w:t>
      </w:r>
    </w:p>
    <w:p>
      <w:pPr>
        <w:pStyle w:val="Heading3"/>
        <w:spacing w:after="120" w:before="180"/>
      </w:pPr>
      <w:r>
        <w:rPr>
          <w:rFonts w:ascii="Arial" w:cs="Arial" w:eastAsia="Arial" w:hAnsi="Arial"/>
          <w:b/>
          <w:bCs/>
          <w:color w:val="000000"/>
          <w:sz w:val="22"/>
          <w:szCs w:val="22"/>
        </w:rPr>
        <w:t xml:space="preserve">Custo estimado</w:t>
      </w:r>
    </w:p>
    <w:p>
      <w:pPr>
        <w:spacing w:after="100" w:before="0"/>
      </w:pPr>
      <w:r>
        <w:rPr>
          <w:rFonts w:ascii="Arial" w:cs="Arial" w:eastAsia="Arial" w:hAnsi="Arial"/>
          <w:sz w:val="22"/>
          <w:szCs w:val="22"/>
        </w:rPr>
        <w:t xml:space="preserve">Auditoria contábil anual completa: R$ 80-200 mil/ano para cooperativa com R$ 10-30 mi de faturamento. Parecer tributário pontual: R$ 30-80 mil para opinião técnica sobre operação específica.</w:t>
      </w:r>
    </w:p>
    <w:p>
      <w:r>
        <w:br w:type="page"/>
      </w:r>
    </w:p>
    <w:p>
      <w:pPr>
        <w:pStyle w:val="Heading1"/>
        <w:spacing w:after="200" w:before="360"/>
      </w:pPr>
      <w:r>
        <w:rPr>
          <w:rFonts w:ascii="Arial" w:cs="Arial" w:eastAsia="Arial" w:hAnsi="Arial"/>
          <w:b/>
          <w:bCs/>
          <w:color w:val="2F75B5"/>
          <w:sz w:val="32"/>
          <w:szCs w:val="32"/>
        </w:rPr>
        <w:t xml:space="preserve">PARTE 4 — ROADMAP DE BLINDAGEM JURÍDICA EM 12 MESES</w:t>
      </w:r>
    </w:p>
    <w:p>
      <w:pPr>
        <w:spacing w:after="100" w:before="0"/>
      </w:pPr>
      <w:r>
        <w:rPr>
          <w:rFonts w:ascii="Arial" w:cs="Arial" w:eastAsia="Arial" w:hAnsi="Arial"/>
          <w:sz w:val="22"/>
          <w:szCs w:val="22"/>
        </w:rPr>
        <w:t xml:space="preserve">Roadmap consolidado para a Brat estruturar a operação cooperativa com a Oleoplan respeitando todos os pontos de atenção. Quatro trimestres, vinte e quatro entregas críticas.</w:t>
      </w:r>
    </w:p>
    <w:p>
      <w:pPr>
        <w:pStyle w:val="Heading2"/>
        <w:spacing w:after="160" w:before="240"/>
      </w:pPr>
      <w:r>
        <w:rPr>
          <w:rFonts w:ascii="Arial" w:cs="Arial" w:eastAsia="Arial" w:hAnsi="Arial"/>
          <w:b/>
          <w:bCs/>
          <w:color w:val="305496"/>
          <w:sz w:val="26"/>
          <w:szCs w:val="26"/>
        </w:rPr>
        <w:t xml:space="preserve">Q3-2026 (junho-agosto): Fundação jurídica</w:t>
      </w:r>
    </w:p>
    <w:p>
      <w:pPr>
        <w:pStyle w:val="ListParagraph"/>
        <w:numPr>
          <w:ilvl w:val="0"/>
          <w:numId w:val="3"/>
        </w:numPr>
        <w:spacing w:after="80"/>
      </w:pPr>
      <w:r>
        <w:rPr>
          <w:rFonts w:ascii="Arial" w:cs="Arial" w:eastAsia="Arial" w:hAnsi="Arial"/>
          <w:sz w:val="22"/>
          <w:szCs w:val="22"/>
        </w:rPr>
        <w:t xml:space="preserve">Constituir formalmente as cooperativas necessárias (Brat Cargas se já não existir como cooperativa formal; Brat Agro com seções específicas — Florestal, Animal, Grãos).</w:t>
      </w:r>
    </w:p>
    <w:p>
      <w:pPr>
        <w:pStyle w:val="ListParagraph"/>
        <w:numPr>
          <w:ilvl w:val="0"/>
          <w:numId w:val="3"/>
        </w:numPr>
        <w:spacing w:after="80"/>
      </w:pPr>
      <w:r>
        <w:rPr>
          <w:rFonts w:ascii="Arial" w:cs="Arial" w:eastAsia="Arial" w:hAnsi="Arial"/>
          <w:sz w:val="22"/>
          <w:szCs w:val="22"/>
        </w:rPr>
        <w:t xml:space="preserve">Contratar advogado especialista em cooperativismo para revisão completa dos estatutos sociais.</w:t>
      </w:r>
    </w:p>
    <w:p>
      <w:pPr>
        <w:pStyle w:val="ListParagraph"/>
        <w:numPr>
          <w:ilvl w:val="0"/>
          <w:numId w:val="3"/>
        </w:numPr>
        <w:spacing w:after="80"/>
      </w:pPr>
      <w:r>
        <w:rPr>
          <w:rFonts w:ascii="Arial" w:cs="Arial" w:eastAsia="Arial" w:hAnsi="Arial"/>
          <w:sz w:val="22"/>
          <w:szCs w:val="22"/>
        </w:rPr>
        <w:t xml:space="preserve">Registrar/atualizar atos constitutivos na JUCEB.</w:t>
      </w:r>
    </w:p>
    <w:p>
      <w:pPr>
        <w:pStyle w:val="ListParagraph"/>
        <w:numPr>
          <w:ilvl w:val="0"/>
          <w:numId w:val="3"/>
        </w:numPr>
        <w:spacing w:after="80"/>
      </w:pPr>
      <w:r>
        <w:rPr>
          <w:rFonts w:ascii="Arial" w:cs="Arial" w:eastAsia="Arial" w:hAnsi="Arial"/>
          <w:sz w:val="22"/>
          <w:szCs w:val="22"/>
        </w:rPr>
        <w:t xml:space="preserve">Obter inscrição estadual SEFAZ-BA e municipais nas cidades-base.</w:t>
      </w:r>
    </w:p>
    <w:p>
      <w:pPr>
        <w:pStyle w:val="ListParagraph"/>
        <w:numPr>
          <w:ilvl w:val="0"/>
          <w:numId w:val="3"/>
        </w:numPr>
        <w:spacing w:after="80"/>
      </w:pPr>
      <w:r>
        <w:rPr>
          <w:rFonts w:ascii="Arial" w:cs="Arial" w:eastAsia="Arial" w:hAnsi="Arial"/>
          <w:sz w:val="22"/>
          <w:szCs w:val="22"/>
        </w:rPr>
        <w:t xml:space="preserve">Cadastrar cooperativas no Sescoop-BA e na OCB-BA.</w:t>
      </w:r>
    </w:p>
    <w:p>
      <w:pPr>
        <w:pStyle w:val="ListParagraph"/>
        <w:numPr>
          <w:ilvl w:val="0"/>
          <w:numId w:val="3"/>
        </w:numPr>
        <w:spacing w:after="80"/>
      </w:pPr>
      <w:r>
        <w:rPr>
          <w:rFonts w:ascii="Arial" w:cs="Arial" w:eastAsia="Arial" w:hAnsi="Arial"/>
          <w:sz w:val="22"/>
          <w:szCs w:val="22"/>
        </w:rPr>
        <w:t xml:space="preserve">Estruturar plano de contas de cooperativa em ERP especializado.</w:t>
      </w:r>
    </w:p>
    <w:p>
      <w:pPr>
        <w:pStyle w:val="Heading2"/>
        <w:spacing w:after="160" w:before="240"/>
      </w:pPr>
      <w:r>
        <w:rPr>
          <w:rFonts w:ascii="Arial" w:cs="Arial" w:eastAsia="Arial" w:hAnsi="Arial"/>
          <w:b/>
          <w:bCs/>
          <w:color w:val="305496"/>
          <w:sz w:val="26"/>
          <w:szCs w:val="26"/>
        </w:rPr>
        <w:t xml:space="preserve">Q4-2026 (setembro-novembro): Adesão e onboarding de cooperados</w:t>
      </w:r>
    </w:p>
    <w:p>
      <w:pPr>
        <w:pStyle w:val="ListParagraph"/>
        <w:numPr>
          <w:ilvl w:val="0"/>
          <w:numId w:val="3"/>
        </w:numPr>
        <w:spacing w:after="80"/>
      </w:pPr>
      <w:r>
        <w:rPr>
          <w:rFonts w:ascii="Arial" w:cs="Arial" w:eastAsia="Arial" w:hAnsi="Arial"/>
          <w:sz w:val="22"/>
          <w:szCs w:val="22"/>
        </w:rPr>
        <w:t xml:space="preserve">Iniciar processo de admissão de cooperados com checklist documental rigoroso (CAF, CAR, ITR, ART quando aplicável).</w:t>
      </w:r>
    </w:p>
    <w:p>
      <w:pPr>
        <w:pStyle w:val="ListParagraph"/>
        <w:numPr>
          <w:ilvl w:val="0"/>
          <w:numId w:val="3"/>
        </w:numPr>
        <w:spacing w:after="80"/>
      </w:pPr>
      <w:r>
        <w:rPr>
          <w:rFonts w:ascii="Arial" w:cs="Arial" w:eastAsia="Arial" w:hAnsi="Arial"/>
          <w:sz w:val="22"/>
          <w:szCs w:val="22"/>
        </w:rPr>
        <w:t xml:space="preserve">Realizar primeira AGE (Assembleia Geral Extraordinária) para aprovação dos primeiros estatutos e admissão de cooperados.</w:t>
      </w:r>
    </w:p>
    <w:p>
      <w:pPr>
        <w:pStyle w:val="ListParagraph"/>
        <w:numPr>
          <w:ilvl w:val="0"/>
          <w:numId w:val="3"/>
        </w:numPr>
        <w:spacing w:after="80"/>
      </w:pPr>
      <w:r>
        <w:rPr>
          <w:rFonts w:ascii="Arial" w:cs="Arial" w:eastAsia="Arial" w:hAnsi="Arial"/>
          <w:sz w:val="22"/>
          <w:szCs w:val="22"/>
        </w:rPr>
        <w:t xml:space="preserve">Implementar sistema de rastreabilidade (cada cooperado com prontuário digital completo).</w:t>
      </w:r>
    </w:p>
    <w:p>
      <w:pPr>
        <w:pStyle w:val="ListParagraph"/>
        <w:numPr>
          <w:ilvl w:val="0"/>
          <w:numId w:val="3"/>
        </w:numPr>
        <w:spacing w:after="80"/>
      </w:pPr>
      <w:r>
        <w:rPr>
          <w:rFonts w:ascii="Arial" w:cs="Arial" w:eastAsia="Arial" w:hAnsi="Arial"/>
          <w:sz w:val="22"/>
          <w:szCs w:val="22"/>
        </w:rPr>
        <w:t xml:space="preserve">Habilitar Brat Agro no SIB-MDA para operar com Selo Biocombustível Social.</w:t>
      </w:r>
    </w:p>
    <w:p>
      <w:pPr>
        <w:pStyle w:val="ListParagraph"/>
        <w:numPr>
          <w:ilvl w:val="0"/>
          <w:numId w:val="3"/>
        </w:numPr>
        <w:spacing w:after="80"/>
      </w:pPr>
      <w:r>
        <w:rPr>
          <w:rFonts w:ascii="Arial" w:cs="Arial" w:eastAsia="Arial" w:hAnsi="Arial"/>
          <w:sz w:val="22"/>
          <w:szCs w:val="22"/>
        </w:rPr>
        <w:t xml:space="preserve">Habilitar Brat Agro no INEMA para operação florestal (caso lenha).</w:t>
      </w:r>
    </w:p>
    <w:p>
      <w:pPr>
        <w:pStyle w:val="ListParagraph"/>
        <w:numPr>
          <w:ilvl w:val="0"/>
          <w:numId w:val="3"/>
        </w:numPr>
        <w:spacing w:after="80"/>
      </w:pPr>
      <w:r>
        <w:rPr>
          <w:rFonts w:ascii="Arial" w:cs="Arial" w:eastAsia="Arial" w:hAnsi="Arial"/>
          <w:sz w:val="22"/>
          <w:szCs w:val="22"/>
        </w:rPr>
        <w:t xml:space="preserve">Iniciar conversações formais com Suprimentos da Oleoplan para os primeiros MVPs.</w:t>
      </w:r>
    </w:p>
    <w:p>
      <w:pPr>
        <w:pStyle w:val="Heading2"/>
        <w:spacing w:after="160" w:before="240"/>
      </w:pPr>
      <w:r>
        <w:rPr>
          <w:rFonts w:ascii="Arial" w:cs="Arial" w:eastAsia="Arial" w:hAnsi="Arial"/>
          <w:b/>
          <w:bCs/>
          <w:color w:val="305496"/>
          <w:sz w:val="26"/>
          <w:szCs w:val="26"/>
        </w:rPr>
        <w:t xml:space="preserve">Q1-2027 (dezembro/26-fevereiro/27): Operacional e regulatório</w:t>
      </w:r>
    </w:p>
    <w:p>
      <w:pPr>
        <w:pStyle w:val="ListParagraph"/>
        <w:numPr>
          <w:ilvl w:val="0"/>
          <w:numId w:val="3"/>
        </w:numPr>
        <w:spacing w:after="80"/>
      </w:pPr>
      <w:r>
        <w:rPr>
          <w:rFonts w:ascii="Arial" w:cs="Arial" w:eastAsia="Arial" w:hAnsi="Arial"/>
          <w:sz w:val="22"/>
          <w:szCs w:val="22"/>
        </w:rPr>
        <w:t xml:space="preserve">Realizar AGO 2027 com aprovação das contas do exercício 2026 e eleição da diretoria efetiva.</w:t>
      </w:r>
    </w:p>
    <w:p>
      <w:pPr>
        <w:pStyle w:val="ListParagraph"/>
        <w:numPr>
          <w:ilvl w:val="0"/>
          <w:numId w:val="3"/>
        </w:numPr>
        <w:spacing w:after="80"/>
      </w:pPr>
      <w:r>
        <w:rPr>
          <w:rFonts w:ascii="Arial" w:cs="Arial" w:eastAsia="Arial" w:hAnsi="Arial"/>
          <w:sz w:val="22"/>
          <w:szCs w:val="22"/>
        </w:rPr>
        <w:t xml:space="preserve">Formalizar OPÇÃO pelo regime específico do art. 271 da LC 214/2025 — primeira janela formal abre em janeiro de 2027.</w:t>
      </w:r>
    </w:p>
    <w:p>
      <w:pPr>
        <w:pStyle w:val="ListParagraph"/>
        <w:numPr>
          <w:ilvl w:val="0"/>
          <w:numId w:val="3"/>
        </w:numPr>
        <w:spacing w:after="80"/>
      </w:pPr>
      <w:r>
        <w:rPr>
          <w:rFonts w:ascii="Arial" w:cs="Arial" w:eastAsia="Arial" w:hAnsi="Arial"/>
          <w:sz w:val="22"/>
          <w:szCs w:val="22"/>
        </w:rPr>
        <w:t xml:space="preserve">Auditoria de conformidade tributária pré-operação (verificação de aderência aos regulamentos CBS/IBS).</w:t>
      </w:r>
    </w:p>
    <w:p>
      <w:pPr>
        <w:pStyle w:val="ListParagraph"/>
        <w:numPr>
          <w:ilvl w:val="0"/>
          <w:numId w:val="3"/>
        </w:numPr>
        <w:spacing w:after="80"/>
      </w:pPr>
      <w:r>
        <w:rPr>
          <w:rFonts w:ascii="Arial" w:cs="Arial" w:eastAsia="Arial" w:hAnsi="Arial"/>
          <w:sz w:val="22"/>
          <w:szCs w:val="22"/>
        </w:rPr>
        <w:t xml:space="preserve">Assinar contratos de fornecimento por safra com cooperados.</w:t>
      </w:r>
    </w:p>
    <w:p>
      <w:pPr>
        <w:pStyle w:val="ListParagraph"/>
        <w:numPr>
          <w:ilvl w:val="0"/>
          <w:numId w:val="3"/>
        </w:numPr>
        <w:spacing w:after="80"/>
      </w:pPr>
      <w:r>
        <w:rPr>
          <w:rFonts w:ascii="Arial" w:cs="Arial" w:eastAsia="Arial" w:hAnsi="Arial"/>
          <w:sz w:val="22"/>
          <w:szCs w:val="22"/>
        </w:rPr>
        <w:t xml:space="preserve">Lançar primeiro MVP operacional com a Oleoplan (sugerido: frete inbound de soja ou lenha cooperativa).</w:t>
      </w:r>
    </w:p>
    <w:p>
      <w:pPr>
        <w:pStyle w:val="ListParagraph"/>
        <w:numPr>
          <w:ilvl w:val="0"/>
          <w:numId w:val="3"/>
        </w:numPr>
        <w:spacing w:after="80"/>
      </w:pPr>
      <w:r>
        <w:rPr>
          <w:rFonts w:ascii="Arial" w:cs="Arial" w:eastAsia="Arial" w:hAnsi="Arial"/>
          <w:sz w:val="22"/>
          <w:szCs w:val="22"/>
        </w:rPr>
        <w:t xml:space="preserve">Estabelecer reuniões trimestrais de prestação de contas aos cooperados.</w:t>
      </w:r>
    </w:p>
    <w:p>
      <w:pPr>
        <w:pStyle w:val="Heading2"/>
        <w:spacing w:after="160" w:before="240"/>
      </w:pPr>
      <w:r>
        <w:rPr>
          <w:rFonts w:ascii="Arial" w:cs="Arial" w:eastAsia="Arial" w:hAnsi="Arial"/>
          <w:b/>
          <w:bCs/>
          <w:color w:val="305496"/>
          <w:sz w:val="26"/>
          <w:szCs w:val="26"/>
        </w:rPr>
        <w:t xml:space="preserve">Q2-2027 (março-maio): Escala e governança</w:t>
      </w:r>
    </w:p>
    <w:p>
      <w:pPr>
        <w:pStyle w:val="ListParagraph"/>
        <w:numPr>
          <w:ilvl w:val="0"/>
          <w:numId w:val="3"/>
        </w:numPr>
        <w:spacing w:after="80"/>
      </w:pPr>
      <w:r>
        <w:rPr>
          <w:rFonts w:ascii="Arial" w:cs="Arial" w:eastAsia="Arial" w:hAnsi="Arial"/>
          <w:sz w:val="22"/>
          <w:szCs w:val="22"/>
        </w:rPr>
        <w:t xml:space="preserve">Avaliar resultados do primeiro MVP e renegociar para ampliação.</w:t>
      </w:r>
    </w:p>
    <w:p>
      <w:pPr>
        <w:pStyle w:val="ListParagraph"/>
        <w:numPr>
          <w:ilvl w:val="0"/>
          <w:numId w:val="3"/>
        </w:numPr>
        <w:spacing w:after="80"/>
      </w:pPr>
      <w:r>
        <w:rPr>
          <w:rFonts w:ascii="Arial" w:cs="Arial" w:eastAsia="Arial" w:hAnsi="Arial"/>
          <w:sz w:val="22"/>
          <w:szCs w:val="22"/>
        </w:rPr>
        <w:t xml:space="preserve">Implementar segundo MVP (sugerido: originação de soja Selo Social).</w:t>
      </w:r>
    </w:p>
    <w:p>
      <w:pPr>
        <w:pStyle w:val="ListParagraph"/>
        <w:numPr>
          <w:ilvl w:val="0"/>
          <w:numId w:val="3"/>
        </w:numPr>
        <w:spacing w:after="80"/>
      </w:pPr>
      <w:r>
        <w:rPr>
          <w:rFonts w:ascii="Arial" w:cs="Arial" w:eastAsia="Arial" w:hAnsi="Arial"/>
          <w:sz w:val="22"/>
          <w:szCs w:val="22"/>
        </w:rPr>
        <w:t xml:space="preserve">Contratar auditoria contábil externa para o exercício 2026/2027.</w:t>
      </w:r>
    </w:p>
    <w:p>
      <w:pPr>
        <w:pStyle w:val="ListParagraph"/>
        <w:numPr>
          <w:ilvl w:val="0"/>
          <w:numId w:val="3"/>
        </w:numPr>
        <w:spacing w:after="80"/>
      </w:pPr>
      <w:r>
        <w:rPr>
          <w:rFonts w:ascii="Arial" w:cs="Arial" w:eastAsia="Arial" w:hAnsi="Arial"/>
          <w:sz w:val="22"/>
          <w:szCs w:val="22"/>
        </w:rPr>
        <w:t xml:space="preserve">Compor conselho fiscal com representantes dos cooperados.</w:t>
      </w:r>
    </w:p>
    <w:p>
      <w:pPr>
        <w:pStyle w:val="ListParagraph"/>
        <w:numPr>
          <w:ilvl w:val="0"/>
          <w:numId w:val="3"/>
        </w:numPr>
        <w:spacing w:after="80"/>
      </w:pPr>
      <w:r>
        <w:rPr>
          <w:rFonts w:ascii="Arial" w:cs="Arial" w:eastAsia="Arial" w:hAnsi="Arial"/>
          <w:sz w:val="22"/>
          <w:szCs w:val="22"/>
        </w:rPr>
        <w:t xml:space="preserve">Definir política de distribuição de sobras e atualizar fundo FATES.</w:t>
      </w:r>
    </w:p>
    <w:p>
      <w:pPr>
        <w:pStyle w:val="ListParagraph"/>
        <w:numPr>
          <w:ilvl w:val="0"/>
          <w:numId w:val="3"/>
        </w:numPr>
        <w:spacing w:after="80"/>
      </w:pPr>
      <w:r>
        <w:rPr>
          <w:rFonts w:ascii="Arial" w:cs="Arial" w:eastAsia="Arial" w:hAnsi="Arial"/>
          <w:sz w:val="22"/>
          <w:szCs w:val="22"/>
        </w:rPr>
        <w:t xml:space="preserve">Avaliação semestral do regime tributário escolhido vs. cenário alternativo (regime geral) com simulações atualizadas.</w:t>
      </w:r>
    </w:p>
    <w:p>
      <w:r>
        <w:br w:type="page"/>
      </w:r>
    </w:p>
    <w:p>
      <w:pPr>
        <w:pStyle w:val="Heading1"/>
        <w:spacing w:after="200" w:before="360"/>
      </w:pPr>
      <w:r>
        <w:rPr>
          <w:rFonts w:ascii="Arial" w:cs="Arial" w:eastAsia="Arial" w:hAnsi="Arial"/>
          <w:b/>
          <w:bCs/>
          <w:color w:val="2F75B5"/>
          <w:sz w:val="32"/>
          <w:szCs w:val="32"/>
        </w:rPr>
        <w:t xml:space="preserve">ANEXO — CONTATOS RECOMENDADOS</w:t>
      </w:r>
    </w:p>
    <w:p>
      <w:pPr>
        <w:pStyle w:val="Heading2"/>
        <w:spacing w:after="160" w:before="240"/>
      </w:pPr>
      <w:r>
        <w:rPr>
          <w:rFonts w:ascii="Arial" w:cs="Arial" w:eastAsia="Arial" w:hAnsi="Arial"/>
          <w:b/>
          <w:bCs/>
          <w:color w:val="305496"/>
          <w:sz w:val="26"/>
          <w:szCs w:val="26"/>
        </w:rPr>
        <w:t xml:space="preserve">Bancas jurídicas tributárias com expertise cooperativa</w:t>
      </w:r>
    </w:p>
    <w:p>
      <w:pPr>
        <w:pStyle w:val="ListParagraph"/>
        <w:numPr>
          <w:ilvl w:val="0"/>
          <w:numId w:val="2"/>
        </w:numPr>
        <w:spacing w:after="80"/>
      </w:pPr>
      <w:r>
        <w:rPr>
          <w:rFonts w:ascii="Arial" w:cs="Arial" w:eastAsia="Arial" w:hAnsi="Arial"/>
          <w:sz w:val="22"/>
          <w:szCs w:val="22"/>
        </w:rPr>
        <w:t xml:space="preserve">Brasil Salomão e Matthes (SP) — sócio Fábio Pallaretti Calcini é referência nacional em cooperativismo.</w:t>
      </w:r>
    </w:p>
    <w:p>
      <w:pPr>
        <w:pStyle w:val="ListParagraph"/>
        <w:numPr>
          <w:ilvl w:val="0"/>
          <w:numId w:val="2"/>
        </w:numPr>
        <w:spacing w:after="80"/>
      </w:pPr>
      <w:r>
        <w:rPr>
          <w:rFonts w:ascii="Arial" w:cs="Arial" w:eastAsia="Arial" w:hAnsi="Arial"/>
          <w:sz w:val="22"/>
          <w:szCs w:val="22"/>
        </w:rPr>
        <w:t xml:space="preserve">Rolim Goulart Cardoso Advogados (BH/SP).</w:t>
      </w:r>
    </w:p>
    <w:p>
      <w:pPr>
        <w:pStyle w:val="ListParagraph"/>
        <w:numPr>
          <w:ilvl w:val="0"/>
          <w:numId w:val="2"/>
        </w:numPr>
        <w:spacing w:after="80"/>
      </w:pPr>
      <w:r>
        <w:rPr>
          <w:rFonts w:ascii="Arial" w:cs="Arial" w:eastAsia="Arial" w:hAnsi="Arial"/>
          <w:sz w:val="22"/>
          <w:szCs w:val="22"/>
        </w:rPr>
        <w:t xml:space="preserve">Mattos Filho (SP/RJ).</w:t>
      </w:r>
    </w:p>
    <w:p>
      <w:pPr>
        <w:pStyle w:val="ListParagraph"/>
        <w:numPr>
          <w:ilvl w:val="0"/>
          <w:numId w:val="2"/>
        </w:numPr>
        <w:spacing w:after="80"/>
      </w:pPr>
      <w:r>
        <w:rPr>
          <w:rFonts w:ascii="Arial" w:cs="Arial" w:eastAsia="Arial" w:hAnsi="Arial"/>
          <w:sz w:val="22"/>
          <w:szCs w:val="22"/>
        </w:rPr>
        <w:t xml:space="preserve">Demarest Advogados (SP).</w:t>
      </w:r>
    </w:p>
    <w:p>
      <w:pPr>
        <w:pStyle w:val="ListParagraph"/>
        <w:numPr>
          <w:ilvl w:val="0"/>
          <w:numId w:val="2"/>
        </w:numPr>
        <w:spacing w:after="80"/>
      </w:pPr>
      <w:r>
        <w:rPr>
          <w:rFonts w:ascii="Arial" w:cs="Arial" w:eastAsia="Arial" w:hAnsi="Arial"/>
          <w:sz w:val="22"/>
          <w:szCs w:val="22"/>
        </w:rPr>
        <w:t xml:space="preserve">BMA — Barbosa, Müssnich, Aragão (RJ/SP).</w:t>
      </w:r>
    </w:p>
    <w:p>
      <w:pPr>
        <w:pStyle w:val="Heading2"/>
        <w:spacing w:after="160" w:before="240"/>
      </w:pPr>
      <w:r>
        <w:rPr>
          <w:rFonts w:ascii="Arial" w:cs="Arial" w:eastAsia="Arial" w:hAnsi="Arial"/>
          <w:b/>
          <w:bCs/>
          <w:color w:val="305496"/>
          <w:sz w:val="26"/>
          <w:szCs w:val="26"/>
        </w:rPr>
        <w:t xml:space="preserve">Auditoria contábil reconhecida em cooperativismo</w:t>
      </w:r>
    </w:p>
    <w:p>
      <w:pPr>
        <w:pStyle w:val="ListParagraph"/>
        <w:numPr>
          <w:ilvl w:val="0"/>
          <w:numId w:val="2"/>
        </w:numPr>
        <w:spacing w:after="80"/>
      </w:pPr>
      <w:r>
        <w:rPr>
          <w:rFonts w:ascii="Arial" w:cs="Arial" w:eastAsia="Arial" w:hAnsi="Arial"/>
          <w:sz w:val="22"/>
          <w:szCs w:val="22"/>
        </w:rPr>
        <w:t xml:space="preserve">PwC Brasil — divisão Agrobusiness.</w:t>
      </w:r>
    </w:p>
    <w:p>
      <w:pPr>
        <w:pStyle w:val="ListParagraph"/>
        <w:numPr>
          <w:ilvl w:val="0"/>
          <w:numId w:val="2"/>
        </w:numPr>
        <w:spacing w:after="80"/>
      </w:pPr>
      <w:r>
        <w:rPr>
          <w:rFonts w:ascii="Arial" w:cs="Arial" w:eastAsia="Arial" w:hAnsi="Arial"/>
          <w:sz w:val="22"/>
          <w:szCs w:val="22"/>
        </w:rPr>
        <w:t xml:space="preserve">KPMG Brasil — escritório Salvador atende cooperativas baianas.</w:t>
      </w:r>
    </w:p>
    <w:p>
      <w:pPr>
        <w:pStyle w:val="ListParagraph"/>
        <w:numPr>
          <w:ilvl w:val="0"/>
          <w:numId w:val="2"/>
        </w:numPr>
        <w:spacing w:after="80"/>
      </w:pPr>
      <w:r>
        <w:rPr>
          <w:rFonts w:ascii="Arial" w:cs="Arial" w:eastAsia="Arial" w:hAnsi="Arial"/>
          <w:sz w:val="22"/>
          <w:szCs w:val="22"/>
        </w:rPr>
        <w:t xml:space="preserve">BDO RCS Auditores.</w:t>
      </w:r>
    </w:p>
    <w:p>
      <w:pPr>
        <w:pStyle w:val="ListParagraph"/>
        <w:numPr>
          <w:ilvl w:val="0"/>
          <w:numId w:val="2"/>
        </w:numPr>
        <w:spacing w:after="80"/>
      </w:pPr>
      <w:r>
        <w:rPr>
          <w:rFonts w:ascii="Arial" w:cs="Arial" w:eastAsia="Arial" w:hAnsi="Arial"/>
          <w:sz w:val="22"/>
          <w:szCs w:val="22"/>
        </w:rPr>
        <w:t xml:space="preserve">Grant Thornton.</w:t>
      </w:r>
    </w:p>
    <w:p>
      <w:pPr>
        <w:pStyle w:val="Heading2"/>
        <w:spacing w:after="160" w:before="240"/>
      </w:pPr>
      <w:r>
        <w:rPr>
          <w:rFonts w:ascii="Arial" w:cs="Arial" w:eastAsia="Arial" w:hAnsi="Arial"/>
          <w:b/>
          <w:bCs/>
          <w:color w:val="305496"/>
          <w:sz w:val="26"/>
          <w:szCs w:val="26"/>
        </w:rPr>
        <w:t xml:space="preserve">Sistema cooperativo e capacitação</w:t>
      </w:r>
    </w:p>
    <w:p>
      <w:pPr>
        <w:pStyle w:val="ListParagraph"/>
        <w:numPr>
          <w:ilvl w:val="0"/>
          <w:numId w:val="2"/>
        </w:numPr>
        <w:spacing w:after="80"/>
      </w:pPr>
      <w:r>
        <w:rPr>
          <w:rFonts w:ascii="Arial" w:cs="Arial" w:eastAsia="Arial" w:hAnsi="Arial"/>
          <w:sz w:val="22"/>
          <w:szCs w:val="22"/>
        </w:rPr>
        <w:t xml:space="preserve">OCB-BA (Sindicato e Organização das Cooperativas do Estado da Bahia) — Salvador. Telefone (71) 3618-2000.</w:t>
      </w:r>
    </w:p>
    <w:p>
      <w:pPr>
        <w:pStyle w:val="ListParagraph"/>
        <w:numPr>
          <w:ilvl w:val="0"/>
          <w:numId w:val="2"/>
        </w:numPr>
        <w:spacing w:after="80"/>
      </w:pPr>
      <w:r>
        <w:rPr>
          <w:rFonts w:ascii="Arial" w:cs="Arial" w:eastAsia="Arial" w:hAnsi="Arial"/>
          <w:sz w:val="22"/>
          <w:szCs w:val="22"/>
        </w:rPr>
        <w:t xml:space="preserve">Sescoop-BA — Serviço Nacional de Aprendizagem do Cooperativismo. Cursos gratuitos para cooperativas.</w:t>
      </w:r>
    </w:p>
    <w:p>
      <w:pPr>
        <w:pStyle w:val="ListParagraph"/>
        <w:numPr>
          <w:ilvl w:val="0"/>
          <w:numId w:val="2"/>
        </w:numPr>
        <w:spacing w:after="80"/>
      </w:pPr>
      <w:r>
        <w:rPr>
          <w:rFonts w:ascii="Arial" w:cs="Arial" w:eastAsia="Arial" w:hAnsi="Arial"/>
          <w:sz w:val="22"/>
          <w:szCs w:val="22"/>
        </w:rPr>
        <w:t xml:space="preserve">OCB Nacional — Brasília.</w:t>
      </w:r>
    </w:p>
    <w:p>
      <w:pPr>
        <w:pStyle w:val="Heading2"/>
        <w:spacing w:after="160" w:before="240"/>
      </w:pPr>
      <w:r>
        <w:rPr>
          <w:rFonts w:ascii="Arial" w:cs="Arial" w:eastAsia="Arial" w:hAnsi="Arial"/>
          <w:b/>
          <w:bCs/>
          <w:color w:val="305496"/>
          <w:sz w:val="26"/>
          <w:szCs w:val="26"/>
        </w:rPr>
        <w:t xml:space="preserve">Consultoria tributária especializada na transição</w:t>
      </w:r>
    </w:p>
    <w:p>
      <w:pPr>
        <w:pStyle w:val="ListParagraph"/>
        <w:numPr>
          <w:ilvl w:val="0"/>
          <w:numId w:val="2"/>
        </w:numPr>
        <w:spacing w:after="80"/>
      </w:pPr>
      <w:r>
        <w:rPr>
          <w:rFonts w:ascii="Arial" w:cs="Arial" w:eastAsia="Arial" w:hAnsi="Arial"/>
          <w:sz w:val="22"/>
          <w:szCs w:val="22"/>
        </w:rPr>
        <w:t xml:space="preserve">Vinco Tributos.</w:t>
      </w:r>
    </w:p>
    <w:p>
      <w:pPr>
        <w:pStyle w:val="ListParagraph"/>
        <w:numPr>
          <w:ilvl w:val="0"/>
          <w:numId w:val="2"/>
        </w:numPr>
        <w:spacing w:after="80"/>
      </w:pPr>
      <w:r>
        <w:rPr>
          <w:rFonts w:ascii="Arial" w:cs="Arial" w:eastAsia="Arial" w:hAnsi="Arial"/>
          <w:sz w:val="22"/>
          <w:szCs w:val="22"/>
        </w:rPr>
        <w:t xml:space="preserve">Jettax.</w:t>
      </w:r>
    </w:p>
    <w:p>
      <w:pPr>
        <w:pStyle w:val="ListParagraph"/>
        <w:numPr>
          <w:ilvl w:val="0"/>
          <w:numId w:val="2"/>
        </w:numPr>
        <w:spacing w:after="80"/>
      </w:pPr>
      <w:r>
        <w:rPr>
          <w:rFonts w:ascii="Arial" w:cs="Arial" w:eastAsia="Arial" w:hAnsi="Arial"/>
          <w:sz w:val="22"/>
          <w:szCs w:val="22"/>
        </w:rPr>
        <w:t xml:space="preserve">Roit (foco automação fiscal cooperativa).</w:t>
      </w:r>
    </w:p>
    <w:p>
      <w:pPr>
        <w:pStyle w:val="ListParagraph"/>
        <w:numPr>
          <w:ilvl w:val="0"/>
          <w:numId w:val="2"/>
        </w:numPr>
        <w:spacing w:after="80"/>
      </w:pPr>
      <w:r>
        <w:rPr>
          <w:rFonts w:ascii="Arial" w:cs="Arial" w:eastAsia="Arial" w:hAnsi="Arial"/>
          <w:sz w:val="22"/>
          <w:szCs w:val="22"/>
        </w:rPr>
        <w:t xml:space="preserve">Aliare (sistema ERP agrocooperativo).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Manual Jurídico Brat × Oleoplan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75B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05496"/>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Jurídico — Operação Cooperativa Brat × Oleoplan</dc:title>
  <dc:subject>Detalhamento dos pontos de atenção jurídico-tributários</dc:subject>
  <dc:creator>Brat Ventures</dc:creator>
  <dc:description>Pontos de atenção jurídica para a operação cooperativa Brat Cargas/Brat Agro com a Oleoplan Nordeste</dc:description>
  <cp:lastModifiedBy>Un-named</cp:lastModifiedBy>
  <cp:revision>1</cp:revision>
  <dcterms:created xsi:type="dcterms:W3CDTF">2026-05-08T12:09:20.555Z</dcterms:created>
  <dcterms:modified xsi:type="dcterms:W3CDTF">2026-05-08T12:09:20.571Z</dcterms:modified>
</cp:coreProperties>
</file>

<file path=docProps/custom.xml><?xml version="1.0" encoding="utf-8"?>
<Properties xmlns="http://schemas.openxmlformats.org/officeDocument/2006/custom-properties" xmlns:vt="http://schemas.openxmlformats.org/officeDocument/2006/docPropsVTypes"/>
</file>