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360" w:lineRule="auto"/>
        <w:jc w:val="right"/>
        <w:rPr>
          <w:rFonts w:hint="eastAsia" w:ascii="仿宋_GB2312" w:eastAsia="仿宋_GB2312"/>
          <w:sz w:val="21"/>
          <w:szCs w:val="21"/>
        </w:rPr>
      </w:pPr>
      <w:r>
        <w:rPr>
          <w:rFonts w:hint="eastAsia" w:ascii="仿宋_GB2312" w:eastAsia="仿宋_GB2312"/>
          <w:sz w:val="21"/>
          <w:szCs w:val="21"/>
        </w:rPr>
        <w:t>协议编号</w:t>
      </w:r>
      <w:r>
        <w:rPr>
          <w:rFonts w:hAnsi="宋体"/>
          <w:sz w:val="21"/>
          <w:szCs w:val="21"/>
        </w:rPr>
        <w:t>：</w:t>
      </w:r>
      <w:r>
        <w:rPr>
          <w:rFonts w:hint="eastAsia"/>
          <w:sz w:val="21"/>
          <w:szCs w:val="21"/>
        </w:rPr>
        <w:t xml:space="preserve">  </w:t>
      </w:r>
    </w:p>
    <w:p>
      <w:pPr>
        <w:spacing w:line="360" w:lineRule="auto"/>
        <w:ind w:firstLine="0"/>
        <w:jc w:val="center"/>
        <w:rPr>
          <w:rFonts w:hint="eastAsia" w:ascii="文鼎大标宋简" w:eastAsia="文鼎大标宋简"/>
          <w:b/>
          <w:sz w:val="52"/>
          <w:szCs w:val="52"/>
        </w:rPr>
      </w:pPr>
      <w:r>
        <w:rPr>
          <w:rFonts w:hint="eastAsia" w:ascii="文鼎大标宋简" w:eastAsia="文鼎大标宋简"/>
          <w:b/>
          <w:sz w:val="52"/>
          <w:szCs w:val="52"/>
        </w:rPr>
        <w:t>香港本地交货协议</w:t>
      </w:r>
    </w:p>
    <w:p>
      <w:pPr>
        <w:spacing w:before="93" w:beforeLines="30" w:line="300" w:lineRule="exact"/>
        <w:ind w:left="0" w:leftChars="0" w:firstLine="0"/>
        <w:rPr>
          <w:rFonts w:hint="default" w:ascii="宋体" w:hAnsi="宋体" w:eastAsia="宋体"/>
          <w:sz w:val="21"/>
          <w:szCs w:val="21"/>
          <w:lang w:val="en-US" w:eastAsia="zh-CN"/>
        </w:rPr>
      </w:pPr>
      <w:r>
        <w:rPr>
          <w:rFonts w:ascii="宋体" w:hAnsi="宋体"/>
          <w:sz w:val="21"/>
          <w:szCs w:val="21"/>
        </w:rPr>
        <w:t>甲方（委托方）：</w:t>
      </w:r>
      <w:r>
        <w:rPr>
          <w:rFonts w:ascii="宋体" w:hAnsi="宋体"/>
          <w:sz w:val="21"/>
          <w:szCs w:val="21"/>
        </w:rPr>
        <w:tab/>
      </w:r>
      <w:r>
        <w:rPr>
          <w:rFonts w:hint="eastAsia" w:ascii="宋体" w:hAnsi="宋体"/>
          <w:sz w:val="21"/>
          <w:szCs w:val="21"/>
          <w:lang w:val="en-US" w:eastAsia="zh-CN"/>
        </w:rPr>
        <w:t>{PartA}</w:t>
      </w:r>
    </w:p>
    <w:p>
      <w:pPr>
        <w:spacing w:before="93" w:beforeLines="30" w:line="300" w:lineRule="exact"/>
        <w:rPr>
          <w:rFonts w:ascii="宋体" w:hAnsi="宋体"/>
          <w:sz w:val="21"/>
          <w:szCs w:val="21"/>
        </w:rPr>
      </w:pPr>
    </w:p>
    <w:p>
      <w:pPr>
        <w:spacing w:before="93" w:beforeLines="30" w:line="300" w:lineRule="exact"/>
        <w:ind w:left="0" w:leftChars="0" w:firstLine="0"/>
        <w:rPr>
          <w:rFonts w:hint="default" w:ascii="宋体" w:hAnsi="宋体" w:eastAsia="宋体"/>
          <w:sz w:val="21"/>
          <w:szCs w:val="21"/>
          <w:lang w:val="en-US" w:eastAsia="zh-CN"/>
        </w:rPr>
      </w:pPr>
      <w:r>
        <w:rPr>
          <w:rFonts w:ascii="宋体" w:hAnsi="宋体"/>
          <w:sz w:val="21"/>
          <w:szCs w:val="21"/>
        </w:rPr>
        <w:t>乙方（受托方）：</w:t>
      </w:r>
      <w:r>
        <w:rPr>
          <w:rFonts w:hint="eastAsia" w:ascii="宋体" w:hAnsi="宋体"/>
          <w:sz w:val="21"/>
          <w:szCs w:val="21"/>
          <w:lang w:val="en-US" w:eastAsia="zh-CN"/>
        </w:rPr>
        <w:t xml:space="preserve"> {PartB}</w:t>
      </w:r>
    </w:p>
    <w:p>
      <w:pPr>
        <w:pStyle w:val="2"/>
        <w:spacing w:before="93" w:beforeLines="30" w:line="300" w:lineRule="exact"/>
        <w:ind w:left="0" w:leftChars="0" w:firstLine="527"/>
        <w:rPr>
          <w:rFonts w:ascii="宋体" w:hAnsi="宋体"/>
          <w:sz w:val="21"/>
          <w:szCs w:val="21"/>
        </w:rPr>
      </w:pPr>
      <w:r>
        <w:rPr>
          <w:rFonts w:ascii="宋体" w:hAnsi="宋体"/>
          <w:sz w:val="21"/>
          <w:szCs w:val="21"/>
        </w:rPr>
        <w:t>根据《中华人民共和国对外贸易法》、《中华人民共和国合同法》及香港相关法律法规，甲乙双方就香港本地交货事宜，本着互利互惠的原则，经友好协商，达成协议如下：</w:t>
      </w:r>
    </w:p>
    <w:p>
      <w:pPr>
        <w:pStyle w:val="2"/>
        <w:numPr>
          <w:ilvl w:val="0"/>
          <w:numId w:val="1"/>
        </w:numPr>
        <w:spacing w:before="93" w:beforeLines="30" w:line="300" w:lineRule="exact"/>
        <w:ind w:leftChars="0"/>
        <w:rPr>
          <w:rFonts w:hint="eastAsia" w:ascii="宋体" w:hAnsi="宋体"/>
          <w:b/>
          <w:sz w:val="21"/>
          <w:szCs w:val="21"/>
        </w:rPr>
      </w:pPr>
      <w:r>
        <w:rPr>
          <w:rFonts w:hint="eastAsia" w:ascii="宋体" w:hAnsi="宋体"/>
          <w:b/>
          <w:sz w:val="21"/>
          <w:szCs w:val="21"/>
        </w:rPr>
        <w:t>总则</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本协议是甲乙双方为建立长期的香港交货代理关系而签订。乙方根据甲方的委托，从供货处接收附件一所述货物，并提供所述货物之物流服务。</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本协议未约定的具体代理事宜根据本协议附件执行，甲乙双方可以根据具体情况，在协商一致的条件下对附件一进行变更。</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本协议未尽事宜，双方应首先根据上述法律及双方在签订协议时达成的基本原则协商解决。</w:t>
      </w:r>
    </w:p>
    <w:p>
      <w:pPr>
        <w:pStyle w:val="2"/>
        <w:numPr>
          <w:ilvl w:val="0"/>
          <w:numId w:val="1"/>
        </w:numPr>
        <w:spacing w:before="93" w:beforeLines="30" w:line="300" w:lineRule="exact"/>
        <w:ind w:leftChars="0"/>
        <w:rPr>
          <w:rFonts w:hint="eastAsia" w:ascii="宋体" w:hAnsi="宋体"/>
          <w:b/>
          <w:sz w:val="21"/>
          <w:szCs w:val="21"/>
        </w:rPr>
      </w:pPr>
      <w:r>
        <w:rPr>
          <w:rFonts w:hint="eastAsia" w:ascii="宋体" w:hAnsi="宋体"/>
          <w:b/>
          <w:sz w:val="21"/>
          <w:szCs w:val="21"/>
        </w:rPr>
        <w:t>香港交货</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甲方就每批货物编制委托单（委托单是指甲方向乙方发出的委托香港交货确认单、订单、INVOICE、采购合同等具有明确的货物名称、数量、单价的文件），列明每批货物的产品名称、规格型号、数量、单价、付款条件、收货方信息、要求的交货期等资料，甲方委托乙方代理之货物以委托单为准，并于境外供应商发货期前两个工作日交给乙方,以便乙方做好货物香港本地交货的相关准备工作。</w:t>
      </w:r>
    </w:p>
    <w:p>
      <w:pPr>
        <w:pStyle w:val="2"/>
        <w:numPr>
          <w:ilvl w:val="1"/>
          <w:numId w:val="1"/>
        </w:numPr>
        <w:adjustRightInd w:val="0"/>
        <w:snapToGrid w:val="0"/>
        <w:spacing w:before="93" w:beforeLines="30" w:line="300" w:lineRule="exact"/>
        <w:ind w:leftChars="0"/>
        <w:rPr>
          <w:rFonts w:ascii="宋体" w:hAnsi="宋体"/>
          <w:sz w:val="21"/>
          <w:szCs w:val="21"/>
        </w:rPr>
      </w:pPr>
      <w:r>
        <w:rPr>
          <w:rFonts w:hint="eastAsia" w:ascii="宋体" w:hAnsi="宋体"/>
          <w:sz w:val="21"/>
          <w:szCs w:val="21"/>
        </w:rPr>
        <w:t>甲方向乙方发出委托单的，视为甲方同意委托乙方代理该等事宜的要约；乙方应当及时以其行为或书面方式做出承诺。</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从甲方电子邮箱</w:t>
      </w:r>
      <w:r>
        <w:rPr>
          <w:rFonts w:hint="eastAsia" w:ascii="宋体" w:hAnsi="宋体"/>
          <w:sz w:val="21"/>
          <w:szCs w:val="21"/>
        </w:rPr>
        <w:t>等</w:t>
      </w:r>
      <w:r>
        <w:rPr>
          <w:rFonts w:ascii="宋体" w:hAnsi="宋体"/>
          <w:sz w:val="21"/>
          <w:szCs w:val="21"/>
        </w:rPr>
        <w:t>通信工具发至乙方的委托单等信息（不论是否经甲方盖章或甲方授权代表签字）均视为甲方同意委托乙方依据本协议约定代理该委托事项，乙方根据该委托单履行代理行为的，甲方不得以任何理由抗辩。</w:t>
      </w:r>
    </w:p>
    <w:p>
      <w:pPr>
        <w:pStyle w:val="2"/>
        <w:numPr>
          <w:ilvl w:val="0"/>
          <w:numId w:val="1"/>
        </w:numPr>
        <w:spacing w:before="93" w:beforeLines="30" w:line="300" w:lineRule="exact"/>
        <w:ind w:leftChars="0"/>
        <w:rPr>
          <w:rFonts w:hint="eastAsia" w:ascii="宋体" w:hAnsi="宋体"/>
          <w:b/>
          <w:sz w:val="21"/>
          <w:szCs w:val="21"/>
        </w:rPr>
      </w:pPr>
      <w:r>
        <w:rPr>
          <w:rFonts w:hint="eastAsia" w:ascii="宋体" w:hAnsi="宋体"/>
          <w:b/>
          <w:sz w:val="21"/>
          <w:szCs w:val="21"/>
        </w:rPr>
        <w:t>甲方的义务、责任</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甲方就本协议及委托单承担其作为委托方的义务。</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甲方应及时满足乙方的要求，向乙方提供有关业务所需的信息和资料。</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甲方应当按本合同约定及时向乙方支付香港本地交货货款和有关费用。</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甲方应保证货物产品名称、规格型号、数量、付款条件、收货方信息等有关信息的真实准确及合法，否则，所引起的一切经济及法律责任全部由甲方负责。</w:t>
      </w:r>
    </w:p>
    <w:p>
      <w:pPr>
        <w:pStyle w:val="2"/>
        <w:numPr>
          <w:ilvl w:val="1"/>
          <w:numId w:val="1"/>
        </w:numPr>
        <w:adjustRightInd w:val="0"/>
        <w:snapToGrid w:val="0"/>
        <w:spacing w:before="93" w:beforeLines="30" w:line="300" w:lineRule="exact"/>
        <w:ind w:leftChars="0"/>
        <w:rPr>
          <w:rFonts w:hint="eastAsia" w:ascii="宋体" w:hAnsi="宋体"/>
          <w:sz w:val="21"/>
          <w:szCs w:val="21"/>
        </w:rPr>
      </w:pPr>
      <w:r>
        <w:rPr>
          <w:rFonts w:ascii="宋体" w:hAnsi="宋体"/>
          <w:sz w:val="21"/>
          <w:szCs w:val="21"/>
        </w:rPr>
        <w:t>除本协议第六条6.5中所述的货物责任之外，甲方不得就货物灭失、货物价格发生变动、货物质量纠纷、货物知识产权纠纷、货物安装、维修、退货、换货等其他任何纠纷或事宜向乙方要求索赔、承担任何责任、或履行任何义务。甲方如因与境外供应商或其他方解决上述纠纷或事宜导致乙方支付有关费用或受到任何损失，甲方须给予乙方全额赔偿。</w:t>
      </w:r>
    </w:p>
    <w:p>
      <w:pPr>
        <w:pStyle w:val="2"/>
        <w:numPr>
          <w:ilvl w:val="1"/>
          <w:numId w:val="1"/>
        </w:numPr>
        <w:adjustRightInd w:val="0"/>
        <w:snapToGrid w:val="0"/>
        <w:spacing w:before="93" w:beforeLines="30" w:line="300" w:lineRule="exact"/>
        <w:ind w:leftChars="0"/>
        <w:rPr>
          <w:rFonts w:hint="eastAsia" w:ascii="宋体" w:hAnsi="宋体"/>
          <w:sz w:val="21"/>
          <w:szCs w:val="21"/>
        </w:rPr>
      </w:pPr>
      <w:r>
        <w:rPr>
          <w:rFonts w:hint="eastAsia" w:ascii="宋体" w:hAnsi="宋体"/>
          <w:sz w:val="21"/>
          <w:szCs w:val="21"/>
        </w:rPr>
        <w:t>甲方或甲方指定的收货方需按本协议约定的结算时间及时支付到期款项，逾期支付到期款项的，乙方有权从逾期之日起每天按应付款总额的0.1%（滞纳金率）向甲方收取逾期付款滞纳金；逾期超过60天的，滞纳金率按每天0.5%计算。</w:t>
      </w:r>
    </w:p>
    <w:p>
      <w:pPr>
        <w:pStyle w:val="2"/>
        <w:numPr>
          <w:ilvl w:val="1"/>
          <w:numId w:val="1"/>
        </w:numPr>
        <w:adjustRightInd w:val="0"/>
        <w:snapToGrid w:val="0"/>
        <w:spacing w:before="93" w:beforeLines="30" w:line="300" w:lineRule="exact"/>
        <w:ind w:leftChars="0"/>
        <w:rPr>
          <w:rFonts w:ascii="宋体" w:hAnsi="宋体"/>
          <w:sz w:val="21"/>
          <w:szCs w:val="21"/>
        </w:rPr>
      </w:pPr>
      <w:r>
        <w:rPr>
          <w:rFonts w:hint="eastAsia" w:ascii="宋体" w:hAnsi="宋体"/>
          <w:sz w:val="21"/>
          <w:szCs w:val="21"/>
        </w:rPr>
        <w:t>甲方逾期支付应付款项的，乙方为实现债权所支付的任何费用（包括但不仅限于律师费、诉讼费、评估费、差旅费等）均由甲方承担；甲方逾期付款超过60天的，乙方有权处理在仓的货物，处理货物所得价款优先用于抵扣乙方处理货物的费用（包括但不仅限于律师费、诉讼费、评估费、差旅费等）、逾期付款滞纳金、乙方对应收取的代理费及其他相关费用。如仍不足以抵偿乙方所受到的损失，甲方仍应承担赔偿责任。甲方逾期付款超过180天的，视为甲方抛弃该货物所有权。</w:t>
      </w:r>
    </w:p>
    <w:p>
      <w:pPr>
        <w:pStyle w:val="2"/>
        <w:numPr>
          <w:ilvl w:val="0"/>
          <w:numId w:val="1"/>
        </w:numPr>
        <w:spacing w:before="93" w:beforeLines="30" w:line="300" w:lineRule="exact"/>
        <w:ind w:leftChars="0"/>
        <w:rPr>
          <w:rFonts w:hint="eastAsia" w:ascii="宋体" w:hAnsi="宋体"/>
          <w:b/>
          <w:sz w:val="21"/>
          <w:szCs w:val="21"/>
        </w:rPr>
      </w:pPr>
      <w:r>
        <w:rPr>
          <w:rFonts w:hint="eastAsia" w:ascii="宋体" w:hAnsi="宋体"/>
          <w:b/>
          <w:sz w:val="21"/>
          <w:szCs w:val="21"/>
        </w:rPr>
        <w:t>乙方的义务、责任</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乙方保证自己具有合法有效的货物贸易经营权，并在其经批准的贸易经营范围内进行经营活动。</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乙方可向甲方提供受托货物的国际市场行情，并应及时报告对外开展业务的进度及履行乙方义务的情况。</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乙方有义务办理履行进行香港本地交货所需的各种手续。</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乙方有义务为甲方保守商业秘密，未获甲方事先书面同意，不得向任何第三人透露甲方客户及交易的情况，但根据有关政府机关或法院要求透露的不在此限。</w:t>
      </w:r>
    </w:p>
    <w:p>
      <w:pPr>
        <w:pStyle w:val="2"/>
        <w:numPr>
          <w:ilvl w:val="0"/>
          <w:numId w:val="1"/>
        </w:numPr>
        <w:spacing w:before="93" w:beforeLines="30" w:line="300" w:lineRule="exact"/>
        <w:ind w:leftChars="0"/>
        <w:rPr>
          <w:rFonts w:hint="eastAsia" w:ascii="宋体" w:hAnsi="宋体"/>
          <w:b/>
          <w:sz w:val="21"/>
          <w:szCs w:val="21"/>
        </w:rPr>
      </w:pPr>
      <w:r>
        <w:rPr>
          <w:rFonts w:hint="eastAsia" w:ascii="宋体" w:hAnsi="宋体"/>
          <w:b/>
          <w:sz w:val="21"/>
          <w:szCs w:val="21"/>
        </w:rPr>
        <w:t>代理费，保险费用及其他费用其支付和结算</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香港交货货物价款及具体货物清单、数量和单价由委托单确认。</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代理费、货款</w:t>
      </w:r>
      <w:r>
        <w:rPr>
          <w:rFonts w:hint="eastAsia" w:ascii="宋体" w:hAnsi="宋体"/>
          <w:sz w:val="21"/>
          <w:szCs w:val="21"/>
        </w:rPr>
        <w:t>、送货费</w:t>
      </w:r>
      <w:r>
        <w:rPr>
          <w:rFonts w:ascii="宋体" w:hAnsi="宋体"/>
          <w:sz w:val="21"/>
          <w:szCs w:val="21"/>
        </w:rPr>
        <w:t>及其他费用支付结算办法详见附件一。每次送货计费，以实际送货为准，每送货一次，收取一次服务费和送货费，提货费以实际提货次数为准。派送一次未能交付的货物，如甲方要求额外派送，乙方将向委托人收取再次派送的运费和服务费。如甲方一票委托单须多点派送的，乙方将按派送地点数量，加收服务费和运费。如甲方指示，乙方等待收货人自提，甲方应及时通知收货人提货。</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无法派送的委托运输货物，如甲方要求退回，则双程费用均由甲方承担；如甲方在委托时要求购买运输保险的，则视为甲方在要求退回时亦选择购买运输保险，甲方须支付双程保费，但甲方在要求退回时明确声明不选择购买运输保险的除外。</w:t>
      </w:r>
    </w:p>
    <w:p>
      <w:pPr>
        <w:pStyle w:val="2"/>
        <w:numPr>
          <w:ilvl w:val="0"/>
          <w:numId w:val="1"/>
        </w:numPr>
        <w:spacing w:before="93" w:beforeLines="30" w:line="300" w:lineRule="exact"/>
        <w:ind w:leftChars="0"/>
        <w:rPr>
          <w:rFonts w:hint="eastAsia" w:ascii="宋体" w:hAnsi="宋体"/>
          <w:b/>
          <w:sz w:val="21"/>
          <w:szCs w:val="21"/>
        </w:rPr>
      </w:pPr>
      <w:r>
        <w:rPr>
          <w:rFonts w:hint="eastAsia" w:ascii="宋体" w:hAnsi="宋体"/>
          <w:b/>
          <w:sz w:val="21"/>
          <w:szCs w:val="21"/>
        </w:rPr>
        <w:t>货物运输、交付、验收以及风险的承担</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货物由乙方货仓，运抵甲方指定的目的地后将货物交付给甲方或者甲方指定的收货人。</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境外供应商向乙方交货时，若货物外包装为原厂包装，乙方按包装箱标示以及装箱清单验收；若原厂外包装破损或有其他异样，应及时通知甲方，乙方可应甲方要求按装箱单开箱照实验收。</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乙方交货时，货物原厂外包装完好的，乙方按原厂外包装标示及原厂装箱清单交货；若原厂外包装破损或有其他异样的，甲方可开箱清点，照实验收。</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乙方收货时，原厂外包装完好，乙方可视为其内在货物完好，乙方凭原厂外包装完好交货的，甲方或者甲方指定的第三方不得向乙方提出异议；在原厂外包装完好的情况下，甲方或者甲方指定的第三方收货验收时发现异样的，应由甲方与境外供应商协商解决，在此情况下，乙方可提供协助。</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为保证双方的利益，甲方应当在货物签收前仔细检查，如有异样应当场通知乙方，并提供相关图片、并在签收单上注明异常情况。如甲方或甲方指定的第三方在签收后通知乙方，乙方将不承担赔偿责任或无法配合保险理赔事宜，所造成的损失将均由甲方自行承担。</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因不可抗力，或委托运输货物的自然属性、内在缺陷或合理损耗，或甲方、收件人的自身过错，造成委托货物毁损、灭失或延误派送、无法派送的，乙方不负赔偿责任。</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如因乙方</w:t>
      </w:r>
      <w:r>
        <w:rPr>
          <w:rFonts w:hint="eastAsia" w:ascii="宋体" w:hAnsi="宋体"/>
          <w:sz w:val="21"/>
          <w:szCs w:val="21"/>
          <w:lang w:eastAsia="zh-CN"/>
        </w:rPr>
        <w:t>保管不善</w:t>
      </w:r>
      <w:r>
        <w:rPr>
          <w:rFonts w:ascii="宋体" w:hAnsi="宋体"/>
          <w:sz w:val="21"/>
          <w:szCs w:val="21"/>
        </w:rPr>
        <w:t>原因造成委托物毁损、灭失的，</w:t>
      </w:r>
      <w:r>
        <w:rPr>
          <w:rFonts w:ascii="宋体" w:hAnsi="宋体"/>
          <w:sz w:val="21"/>
          <w:szCs w:val="21"/>
          <w:highlight w:val="yellow"/>
        </w:rPr>
        <w:t>乙方将</w:t>
      </w:r>
      <w:r>
        <w:rPr>
          <w:rFonts w:hint="eastAsia" w:ascii="宋体" w:hAnsi="宋体"/>
          <w:sz w:val="21"/>
          <w:szCs w:val="21"/>
          <w:highlight w:val="yellow"/>
          <w:lang w:eastAsia="zh-CN"/>
        </w:rPr>
        <w:t>按照货物毁损比例进行赔偿，但最高不超过委托书的货物货值</w:t>
      </w:r>
      <w:r>
        <w:rPr>
          <w:rFonts w:ascii="宋体" w:hAnsi="宋体"/>
          <w:sz w:val="21"/>
          <w:szCs w:val="21"/>
        </w:rPr>
        <w:t>；如甲方未要求购买运输保险的，则乙方在不超过运费7倍的限额内，赔偿委托运输货物的实际损失。如甲方要求乙方代为购买运输保险的（甲方要求乙方代为购买运输保险的，应当按货物总价的0.03％向乙方支付保费），则由保险公司根据保险合同及相关法律法规承担保险责任。</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无法派送的委托运输货物，如联系不到甲方，或甲方不做出明确指示的，除不易保存的货物外，乙方将对托运货物保存3个月。期限届满，乙方可变卖委托运输货物并就有关费用优先受偿。</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如甲方或收件人未付清运费及其他费用的，乙方有权留置委托物，留置期限为3个月（自收到委托物日起计算）。期限届满，甲方或收件人仍未付清费用的，乙方可变卖委托物并优先受偿。</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甲方逾期提取或接收货物的，货物损毁或灭失的风险自甲方应当提取或乙方第一次送货之日起由甲方承担，乙方不承担任何责任。</w:t>
      </w:r>
    </w:p>
    <w:p>
      <w:pPr>
        <w:pStyle w:val="2"/>
        <w:numPr>
          <w:ilvl w:val="0"/>
          <w:numId w:val="1"/>
        </w:numPr>
        <w:spacing w:before="93" w:beforeLines="30" w:line="300" w:lineRule="exact"/>
        <w:ind w:leftChars="0"/>
        <w:rPr>
          <w:rFonts w:hint="eastAsia" w:ascii="宋体" w:hAnsi="宋体"/>
          <w:b/>
          <w:sz w:val="21"/>
          <w:szCs w:val="21"/>
        </w:rPr>
      </w:pPr>
      <w:r>
        <w:rPr>
          <w:rFonts w:hint="eastAsia" w:ascii="宋体" w:hAnsi="宋体"/>
          <w:b/>
          <w:sz w:val="21"/>
          <w:szCs w:val="21"/>
        </w:rPr>
        <w:t>争议的解决</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本协议规定的代理费不包括办理本协议项下任何仲裁、诉讼及其他费用。</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就属于境外供应商责任的短重及/或质量索赔，乙方不承担赔偿责任，但会尽力协助甲方向境外供应商提出索赔。乙方因此而支出的有关费用或受到的任何损失，应由甲方给予全额赔偿。</w:t>
      </w:r>
    </w:p>
    <w:p>
      <w:pPr>
        <w:pStyle w:val="2"/>
        <w:numPr>
          <w:ilvl w:val="1"/>
          <w:numId w:val="1"/>
        </w:numPr>
        <w:adjustRightInd w:val="0"/>
        <w:snapToGrid w:val="0"/>
        <w:spacing w:before="93" w:beforeLines="30" w:line="300" w:lineRule="exact"/>
        <w:ind w:leftChars="0"/>
        <w:rPr>
          <w:rFonts w:hint="eastAsia" w:ascii="宋体" w:hAnsi="宋体"/>
          <w:sz w:val="21"/>
          <w:szCs w:val="21"/>
        </w:rPr>
      </w:pPr>
      <w:r>
        <w:rPr>
          <w:rFonts w:hint="eastAsia" w:ascii="宋体" w:hAnsi="宋体"/>
          <w:sz w:val="21"/>
          <w:szCs w:val="21"/>
        </w:rPr>
        <w:t>甲乙双方同意</w:t>
      </w:r>
      <w:r>
        <w:rPr>
          <w:rFonts w:hint="eastAsia" w:ascii="宋体" w:hAnsi="宋体"/>
          <w:sz w:val="21"/>
          <w:szCs w:val="21"/>
          <w:lang w:eastAsia="zh-CN"/>
        </w:rPr>
        <w:t>，在执行本协议过程中所发生的纠纷应首先通过友好协商解决；协商不成的，任何一方均可向深圳市福田区人民法院提请诉讼，本协议适用中华人民共和国法律。</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如因任何原因，境外供应商向乙方提起仲裁或诉讼时，乙方应及时通知甲方，甲方有义务协助乙方搜集证据，并应为有关交涉提供必要的支持和方便。如乙方因此支付任何费用或者受到任何损失，应由甲方给予全额赔偿。</w:t>
      </w:r>
    </w:p>
    <w:p>
      <w:pPr>
        <w:pStyle w:val="2"/>
        <w:numPr>
          <w:ilvl w:val="0"/>
          <w:numId w:val="1"/>
        </w:numPr>
        <w:spacing w:before="93" w:beforeLines="30" w:line="300" w:lineRule="exact"/>
        <w:ind w:leftChars="0"/>
        <w:rPr>
          <w:rFonts w:hint="eastAsia" w:ascii="宋体" w:hAnsi="宋体"/>
          <w:b/>
          <w:sz w:val="21"/>
          <w:szCs w:val="21"/>
        </w:rPr>
      </w:pPr>
      <w:r>
        <w:rPr>
          <w:rFonts w:hint="eastAsia" w:ascii="宋体" w:hAnsi="宋体"/>
          <w:b/>
          <w:sz w:val="21"/>
          <w:szCs w:val="21"/>
        </w:rPr>
        <w:t>不可抗力</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任何一方由于战争及严重的火灾、台风、地震、当地国家行为、罢工、水灾和其他不能预见、不可避免和不能克服的事件而影响其履行协议所规定的义务的，受事故影响的一方将发生的不可抗力事件的情况在恢复通信后以传真通知其他方，并在发出传真后的合理期限内以航空挂号信件将有关当局或机构出具的证明文件提交其他方。</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由于战争及火灾、台风、地震、水灾、罢工、当地国家行为和其他不可抗力因素引起的损失和后果由甲方承担。</w:t>
      </w:r>
    </w:p>
    <w:p>
      <w:pPr>
        <w:pStyle w:val="2"/>
        <w:numPr>
          <w:ilvl w:val="0"/>
          <w:numId w:val="1"/>
        </w:numPr>
        <w:spacing w:before="93" w:beforeLines="30" w:line="300" w:lineRule="exact"/>
        <w:ind w:leftChars="0"/>
        <w:rPr>
          <w:rFonts w:hint="eastAsia" w:ascii="宋体" w:hAnsi="宋体"/>
          <w:b/>
          <w:sz w:val="21"/>
          <w:szCs w:val="21"/>
        </w:rPr>
      </w:pPr>
      <w:r>
        <w:rPr>
          <w:rFonts w:hint="eastAsia" w:ascii="宋体" w:hAnsi="宋体"/>
          <w:b/>
          <w:sz w:val="21"/>
          <w:szCs w:val="21"/>
        </w:rPr>
        <w:t>协议的变更</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有关本协议的任何变更或补充应以书面形式达成，并经双方签章后生效。</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本协议因任何原因被解除或终止后，双方应及时清理帐款、财物。甲方应当在协议解除或终止之日起（10）日内从乙方处收回全部甲方货物并核对结清往来款项。若因甲方自身原因超过（15）日未能清退货物和应付款项，乙方有权按货物价格百分之五（5%）收取仓储费，仓储期间，货物发生损毁或灭失的，乙方不承担任何责任。若因甲方自身原因超过30日未能清退货物及支付应付款项，乙方有权处理该货物，并可以处理货物所得价款优先受偿（优先受偿范围包括但不仅限于依据本合同甲方应当支付的所有费用、律师费、诉讼费、处理该货物的费用）。乙方因此支付的任何费用以及遭受的任何损失，甲方均应当给予全额赔偿。</w:t>
      </w:r>
    </w:p>
    <w:p>
      <w:pPr>
        <w:pStyle w:val="2"/>
        <w:numPr>
          <w:ilvl w:val="0"/>
          <w:numId w:val="1"/>
        </w:numPr>
        <w:spacing w:before="93" w:beforeLines="30" w:line="300" w:lineRule="exact"/>
        <w:ind w:leftChars="0"/>
        <w:rPr>
          <w:rFonts w:hint="eastAsia" w:ascii="宋体" w:hAnsi="宋体"/>
          <w:b/>
          <w:sz w:val="21"/>
          <w:szCs w:val="21"/>
        </w:rPr>
      </w:pPr>
      <w:r>
        <w:rPr>
          <w:rFonts w:hint="eastAsia" w:ascii="宋体" w:hAnsi="宋体"/>
          <w:b/>
          <w:sz w:val="21"/>
          <w:szCs w:val="21"/>
        </w:rPr>
        <w:t>违约责任</w:t>
      </w:r>
    </w:p>
    <w:p>
      <w:pPr>
        <w:pStyle w:val="2"/>
        <w:numPr>
          <w:ilvl w:val="1"/>
          <w:numId w:val="1"/>
        </w:numPr>
        <w:adjustRightInd w:val="0"/>
        <w:snapToGrid w:val="0"/>
        <w:spacing w:before="93" w:beforeLines="30" w:line="300" w:lineRule="exact"/>
        <w:ind w:leftChars="0"/>
        <w:rPr>
          <w:rFonts w:ascii="宋体" w:hAnsi="宋体"/>
          <w:sz w:val="21"/>
          <w:szCs w:val="21"/>
        </w:rPr>
      </w:pPr>
      <w:r>
        <w:rPr>
          <w:rFonts w:hint="eastAsia" w:ascii="宋体" w:hAnsi="宋体"/>
          <w:sz w:val="21"/>
          <w:szCs w:val="21"/>
        </w:rPr>
        <w:t>非乙方原因导致香港本地交货事宜不能履行、不能完全履行、延迟履行或履行不符合约定条件的，视为甲方违约，甲方应偿付乙方为其垫付的费用、税金、利息及资金占用费，支付本合同约定的代理费和违约金，并承担乙方因此对外承担的一切责任；乙方在任何时候未要求甲方履行本协议任一条款，并不影响乙方以后强制执行该条款的权利。</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除非本协议另有规定，若本协议任何一方违反其在本协议项下的任何义务导致另一方遭受损失，违约方应赔偿守约方的该等损失，在该等损失难以计算的情况下，违约方应当向守约方支付货物总额15%的违约金并赔偿守约方因此所遭受的损失。</w:t>
      </w:r>
    </w:p>
    <w:p>
      <w:pPr>
        <w:pStyle w:val="2"/>
        <w:numPr>
          <w:ilvl w:val="0"/>
          <w:numId w:val="1"/>
        </w:numPr>
        <w:spacing w:before="93" w:beforeLines="30" w:line="300" w:lineRule="exact"/>
        <w:ind w:leftChars="0"/>
        <w:rPr>
          <w:rFonts w:hint="eastAsia" w:ascii="宋体" w:hAnsi="宋体"/>
          <w:b/>
          <w:sz w:val="21"/>
          <w:szCs w:val="21"/>
        </w:rPr>
      </w:pPr>
      <w:r>
        <w:rPr>
          <w:rFonts w:hint="eastAsia" w:ascii="宋体" w:hAnsi="宋体"/>
          <w:b/>
          <w:sz w:val="21"/>
          <w:szCs w:val="21"/>
        </w:rPr>
        <w:t>其他约定</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若因任何原因致使本协议项下的任何条款成为无效，本协议其它条款的合法性和有效性将不受任何影响。</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甲乙双方应各自承担在执行本协议中除本协议约定的费用以外所发生的经营管理费用。</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对于本协议项下重要事项的联络，甲乙双方应以书面形式进行。紧急事项可用电话联系，但事后须采用书面方式确认。</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如果甲乙任何一方被撤销或解散时，其在本协议项下的权利及义务由其接收方承担。</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本协议一式两份，甲乙双方各持一份，具有同等法律效力；本协议由甲乙双方签章后生效。</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甲乙双方的任何一方如更改其名称、地址、开户银行、银行帐号等信息时均应及时通知对方。否则，责任方须自行承担由此而引起的经济损失。</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本协议所附附件与本协议同时存在，具有同等法律效力；附件内容如有变更双方应以书面形式确认。</w:t>
      </w:r>
    </w:p>
    <w:p>
      <w:pPr>
        <w:pStyle w:val="2"/>
        <w:spacing w:line="400" w:lineRule="exact"/>
        <w:ind w:left="0" w:leftChars="0" w:firstLine="527"/>
        <w:rPr>
          <w:rFonts w:ascii="宋体" w:hAnsi="宋体"/>
          <w:sz w:val="21"/>
          <w:szCs w:val="21"/>
        </w:rPr>
      </w:pPr>
    </w:p>
    <w:tbl>
      <w:tblPr>
        <w:tblStyle w:val="6"/>
        <w:tblW w:w="0" w:type="auto"/>
        <w:tblInd w:w="93" w:type="dxa"/>
        <w:tblLayout w:type="fixed"/>
        <w:tblCellMar>
          <w:top w:w="0" w:type="dxa"/>
          <w:left w:w="108" w:type="dxa"/>
          <w:bottom w:w="0" w:type="dxa"/>
          <w:right w:w="108" w:type="dxa"/>
        </w:tblCellMar>
      </w:tblPr>
      <w:tblGrid>
        <w:gridCol w:w="4440"/>
        <w:gridCol w:w="5121"/>
      </w:tblGrid>
      <w:tr>
        <w:tblPrEx>
          <w:tblCellMar>
            <w:top w:w="0" w:type="dxa"/>
            <w:left w:w="108" w:type="dxa"/>
            <w:bottom w:w="0" w:type="dxa"/>
            <w:right w:w="108" w:type="dxa"/>
          </w:tblCellMar>
        </w:tblPrEx>
        <w:trPr>
          <w:trHeight w:val="1215" w:hRule="atLeast"/>
        </w:trPr>
        <w:tc>
          <w:tcPr>
            <w:tcW w:w="4440" w:type="dxa"/>
            <w:noWrap w:val="0"/>
            <w:vAlign w:val="center"/>
          </w:tcPr>
          <w:p>
            <w:pPr>
              <w:widowControl/>
              <w:ind w:left="0" w:leftChars="0" w:firstLine="0"/>
              <w:jc w:val="left"/>
              <w:rPr>
                <w:rFonts w:ascii="宋体" w:hAnsi="宋体"/>
                <w:kern w:val="0"/>
                <w:sz w:val="21"/>
                <w:szCs w:val="21"/>
              </w:rPr>
            </w:pPr>
            <w:r>
              <w:rPr>
                <w:rFonts w:ascii="宋体" w:hAnsi="宋体"/>
                <w:kern w:val="0"/>
                <w:sz w:val="21"/>
                <w:szCs w:val="21"/>
              </w:rPr>
              <w:t>甲方：</w:t>
            </w:r>
            <w:r>
              <w:rPr>
                <w:rFonts w:hint="eastAsia" w:ascii="宋体" w:hAnsi="宋体"/>
                <w:sz w:val="21"/>
                <w:szCs w:val="21"/>
                <w:lang w:val="en-US" w:eastAsia="zh-CN"/>
              </w:rPr>
              <w:t>{PartEndA}</w:t>
            </w:r>
          </w:p>
        </w:tc>
        <w:tc>
          <w:tcPr>
            <w:tcW w:w="5121" w:type="dxa"/>
            <w:noWrap w:val="0"/>
            <w:vAlign w:val="center"/>
          </w:tcPr>
          <w:p>
            <w:pPr>
              <w:widowControl/>
              <w:ind w:left="0" w:leftChars="0" w:firstLine="0"/>
              <w:jc w:val="left"/>
              <w:rPr>
                <w:rFonts w:hint="default" w:ascii="宋体" w:hAnsi="宋体" w:eastAsia="宋体"/>
                <w:kern w:val="0"/>
                <w:sz w:val="21"/>
                <w:szCs w:val="21"/>
                <w:lang w:val="en-US" w:eastAsia="zh-CN"/>
              </w:rPr>
            </w:pPr>
            <w:r>
              <w:rPr>
                <w:rFonts w:ascii="宋体" w:hAnsi="宋体"/>
                <w:kern w:val="0"/>
                <w:sz w:val="21"/>
                <w:szCs w:val="21"/>
              </w:rPr>
              <w:t>乙方：</w:t>
            </w:r>
            <w:r>
              <w:rPr>
                <w:rFonts w:hint="eastAsia" w:ascii="宋体" w:hAnsi="宋体"/>
                <w:kern w:val="0"/>
                <w:sz w:val="21"/>
                <w:szCs w:val="21"/>
                <w:lang w:val="en-US" w:eastAsia="zh-CN"/>
              </w:rPr>
              <w:t>{</w:t>
            </w:r>
            <w:r>
              <w:rPr>
                <w:rFonts w:hint="eastAsia" w:ascii="宋体" w:hAnsi="宋体"/>
                <w:sz w:val="21"/>
                <w:szCs w:val="21"/>
                <w:lang w:val="en-US" w:eastAsia="zh-CN"/>
              </w:rPr>
              <w:t>PartEndB}</w:t>
            </w:r>
            <w:bookmarkStart w:id="0" w:name="_GoBack"/>
            <w:bookmarkEnd w:id="0"/>
          </w:p>
        </w:tc>
      </w:tr>
      <w:tr>
        <w:tblPrEx>
          <w:tblCellMar>
            <w:top w:w="0" w:type="dxa"/>
            <w:left w:w="108" w:type="dxa"/>
            <w:bottom w:w="0" w:type="dxa"/>
            <w:right w:w="108" w:type="dxa"/>
          </w:tblCellMar>
        </w:tblPrEx>
        <w:trPr>
          <w:trHeight w:val="735" w:hRule="atLeast"/>
        </w:trPr>
        <w:tc>
          <w:tcPr>
            <w:tcW w:w="4440" w:type="dxa"/>
            <w:noWrap w:val="0"/>
            <w:vAlign w:val="center"/>
          </w:tcPr>
          <w:p>
            <w:pPr>
              <w:widowControl/>
              <w:ind w:left="0" w:leftChars="0" w:firstLine="0"/>
              <w:jc w:val="left"/>
              <w:rPr>
                <w:rFonts w:ascii="宋体" w:hAnsi="宋体"/>
                <w:kern w:val="0"/>
                <w:sz w:val="21"/>
                <w:szCs w:val="21"/>
              </w:rPr>
            </w:pPr>
            <w:r>
              <w:rPr>
                <w:rFonts w:ascii="宋体" w:hAnsi="宋体"/>
                <w:kern w:val="0"/>
                <w:sz w:val="21"/>
                <w:szCs w:val="21"/>
              </w:rPr>
              <w:t>授权代表：</w:t>
            </w:r>
          </w:p>
        </w:tc>
        <w:tc>
          <w:tcPr>
            <w:tcW w:w="5121" w:type="dxa"/>
            <w:noWrap w:val="0"/>
            <w:vAlign w:val="center"/>
          </w:tcPr>
          <w:p>
            <w:pPr>
              <w:widowControl/>
              <w:ind w:left="0" w:leftChars="0" w:firstLine="0"/>
              <w:jc w:val="left"/>
              <w:rPr>
                <w:rFonts w:ascii="宋体" w:hAnsi="宋体"/>
                <w:kern w:val="0"/>
                <w:sz w:val="21"/>
                <w:szCs w:val="21"/>
              </w:rPr>
            </w:pPr>
            <w:r>
              <w:rPr>
                <w:rFonts w:ascii="宋体" w:hAnsi="宋体"/>
                <w:kern w:val="0"/>
                <w:sz w:val="21"/>
                <w:szCs w:val="21"/>
              </w:rPr>
              <w:t>授权代表：</w:t>
            </w:r>
          </w:p>
        </w:tc>
      </w:tr>
      <w:tr>
        <w:tblPrEx>
          <w:tblCellMar>
            <w:top w:w="0" w:type="dxa"/>
            <w:left w:w="108" w:type="dxa"/>
            <w:bottom w:w="0" w:type="dxa"/>
            <w:right w:w="108" w:type="dxa"/>
          </w:tblCellMar>
        </w:tblPrEx>
        <w:trPr>
          <w:trHeight w:val="285" w:hRule="atLeast"/>
        </w:trPr>
        <w:tc>
          <w:tcPr>
            <w:tcW w:w="9561" w:type="dxa"/>
            <w:gridSpan w:val="2"/>
            <w:tcBorders>
              <w:top w:val="nil"/>
              <w:left w:val="nil"/>
              <w:bottom w:val="single" w:color="auto" w:sz="4" w:space="0"/>
              <w:right w:val="nil"/>
            </w:tcBorders>
            <w:noWrap w:val="0"/>
            <w:vAlign w:val="center"/>
          </w:tcPr>
          <w:p>
            <w:pPr>
              <w:widowControl/>
              <w:jc w:val="left"/>
              <w:rPr>
                <w:rFonts w:ascii="宋体" w:hAnsi="宋体"/>
                <w:kern w:val="0"/>
                <w:sz w:val="21"/>
                <w:szCs w:val="21"/>
              </w:rPr>
            </w:pPr>
          </w:p>
        </w:tc>
      </w:tr>
      <w:tr>
        <w:tblPrEx>
          <w:tblCellMar>
            <w:top w:w="0" w:type="dxa"/>
            <w:left w:w="108" w:type="dxa"/>
            <w:bottom w:w="0" w:type="dxa"/>
            <w:right w:w="108" w:type="dxa"/>
          </w:tblCellMar>
        </w:tblPrEx>
        <w:trPr>
          <w:trHeight w:val="303" w:hRule="atLeast"/>
        </w:trPr>
        <w:tc>
          <w:tcPr>
            <w:tcW w:w="4440" w:type="dxa"/>
            <w:tcBorders>
              <w:top w:val="single" w:color="auto" w:sz="4" w:space="0"/>
              <w:left w:val="nil"/>
              <w:bottom w:val="nil"/>
              <w:right w:val="nil"/>
            </w:tcBorders>
            <w:noWrap w:val="0"/>
            <w:vAlign w:val="center"/>
          </w:tcPr>
          <w:p>
            <w:pPr>
              <w:widowControl/>
              <w:ind w:left="0" w:leftChars="0" w:firstLine="0"/>
              <w:jc w:val="left"/>
              <w:rPr>
                <w:rFonts w:ascii="宋体" w:hAnsi="宋体"/>
                <w:kern w:val="0"/>
                <w:sz w:val="21"/>
                <w:szCs w:val="21"/>
              </w:rPr>
            </w:pPr>
            <w:r>
              <w:rPr>
                <w:rFonts w:ascii="宋体" w:hAnsi="宋体"/>
                <w:kern w:val="0"/>
                <w:sz w:val="21"/>
                <w:szCs w:val="21"/>
              </w:rPr>
              <w:t xml:space="preserve">签订日期： </w:t>
            </w:r>
          </w:p>
        </w:tc>
        <w:tc>
          <w:tcPr>
            <w:tcW w:w="5121" w:type="dxa"/>
            <w:tcBorders>
              <w:top w:val="single" w:color="auto" w:sz="4" w:space="0"/>
              <w:left w:val="nil"/>
              <w:bottom w:val="nil"/>
              <w:right w:val="nil"/>
            </w:tcBorders>
            <w:noWrap w:val="0"/>
            <w:vAlign w:val="center"/>
          </w:tcPr>
          <w:p>
            <w:pPr>
              <w:widowControl/>
              <w:ind w:left="0" w:leftChars="0" w:firstLine="0"/>
              <w:jc w:val="left"/>
              <w:rPr>
                <w:rFonts w:ascii="宋体" w:hAnsi="宋体"/>
                <w:kern w:val="0"/>
                <w:sz w:val="21"/>
                <w:szCs w:val="21"/>
              </w:rPr>
            </w:pPr>
            <w:r>
              <w:rPr>
                <w:rFonts w:ascii="宋体" w:hAnsi="宋体"/>
                <w:kern w:val="0"/>
                <w:sz w:val="21"/>
                <w:szCs w:val="21"/>
              </w:rPr>
              <w:t>签订地点：广东省深圳市</w:t>
            </w:r>
          </w:p>
        </w:tc>
      </w:tr>
    </w:tbl>
    <w:p>
      <w:pPr>
        <w:pStyle w:val="2"/>
        <w:spacing w:line="400" w:lineRule="exact"/>
        <w:ind w:left="0" w:leftChars="0" w:firstLine="527"/>
        <w:rPr>
          <w:rFonts w:hint="eastAsia" w:ascii="宋体" w:hAnsi="宋体"/>
          <w:sz w:val="21"/>
          <w:szCs w:val="21"/>
        </w:rPr>
      </w:pPr>
    </w:p>
    <w:p>
      <w:pPr>
        <w:rPr>
          <w:rFonts w:ascii="宋体" w:hAnsi="宋体"/>
          <w:sz w:val="21"/>
          <w:szCs w:val="21"/>
        </w:rPr>
      </w:pPr>
    </w:p>
    <w:sectPr>
      <w:headerReference r:id="rId3" w:type="default"/>
      <w:footerReference r:id="rId5" w:type="default"/>
      <w:headerReference r:id="rId4" w:type="even"/>
      <w:footerReference r:id="rId6" w:type="even"/>
      <w:pgSz w:w="11907" w:h="16840"/>
      <w:pgMar w:top="935" w:right="1287" w:bottom="1091" w:left="1440" w:header="468" w:footer="286"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文鼎大标宋简">
    <w:altName w:val="微软雅黑"/>
    <w:panose1 w:val="0201060901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0" w:leftChars="0" w:firstLine="0"/>
      <w:jc w:val="center"/>
      <w:rPr>
        <w:rFonts w:hint="eastAsia"/>
        <w:kern w:val="0"/>
      </w:rPr>
    </w:pPr>
    <w:r>
      <w:rPr>
        <w:rFonts w:hint="eastAsia"/>
        <w:kern w:val="0"/>
      </w:rPr>
      <w:t xml:space="preserve">第 </w:t>
    </w:r>
    <w:r>
      <w:rPr>
        <w:kern w:val="0"/>
      </w:rPr>
      <w:fldChar w:fldCharType="begin"/>
    </w:r>
    <w:r>
      <w:rPr>
        <w:kern w:val="0"/>
      </w:rPr>
      <w:instrText xml:space="preserve"> PAGE </w:instrText>
    </w:r>
    <w:r>
      <w:rPr>
        <w:kern w:val="0"/>
      </w:rPr>
      <w:fldChar w:fldCharType="separate"/>
    </w:r>
    <w:r>
      <w:rPr>
        <w:kern w:val="0"/>
      </w:rPr>
      <w:t>1</w:t>
    </w:r>
    <w:r>
      <w:rPr>
        <w:kern w:val="0"/>
      </w:rPr>
      <w:fldChar w:fldCharType="end"/>
    </w:r>
    <w:r>
      <w:rPr>
        <w:rFonts w:hint="eastAsia"/>
        <w:kern w:val="0"/>
      </w:rPr>
      <w:t xml:space="preserve"> 页 共 </w:t>
    </w:r>
    <w:r>
      <w:rPr>
        <w:kern w:val="0"/>
      </w:rPr>
      <w:fldChar w:fldCharType="begin"/>
    </w:r>
    <w:r>
      <w:rPr>
        <w:kern w:val="0"/>
      </w:rPr>
      <w:instrText xml:space="preserve"> NUMPAGES </w:instrText>
    </w:r>
    <w:r>
      <w:rPr>
        <w:kern w:val="0"/>
      </w:rPr>
      <w:fldChar w:fldCharType="separate"/>
    </w:r>
    <w:r>
      <w:rPr>
        <w:kern w:val="0"/>
      </w:rPr>
      <w:t>4</w:t>
    </w:r>
    <w:r>
      <w:rPr>
        <w:kern w:val="0"/>
      </w:rPr>
      <w:fldChar w:fldCharType="end"/>
    </w:r>
    <w:r>
      <w:rPr>
        <w:rFonts w:hint="eastAsia"/>
        <w:kern w:val="0"/>
      </w:rPr>
      <w:t xml:space="preserve"> 页</w:t>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Style w:val="8"/>
      </w:rPr>
    </w:pPr>
    <w:r>
      <w:fldChar w:fldCharType="begin"/>
    </w:r>
    <w:r>
      <w:rPr>
        <w:rStyle w:val="8"/>
      </w:rPr>
      <w:instrText xml:space="preserve">PAGE  </w:instrText>
    </w:r>
    <w:r>
      <w:fldChar w:fldCharType="end"/>
    </w:r>
  </w:p>
  <w:p>
    <w:pPr>
      <w:pStyle w:val="4"/>
    </w:pPr>
  </w:p>
  <w:p/>
  <w:p/>
  <w:p/>
  <w:p/>
  <w:p/>
  <w:p/>
  <w:p/>
  <w:p/>
  <w:p/>
  <w:p/>
  <w:p/>
  <w:p/>
  <w:p/>
  <w:p/>
  <w:p/>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2865"/>
        <w:tab w:val="right" w:pos="9242"/>
      </w:tabs>
      <w:ind w:left="524" w:leftChars="0" w:right="-103" w:rightChars="-43" w:hanging="524"/>
      <w:jc w:val="right"/>
      <w:rPr>
        <w:rFonts w:hint="default" w:eastAsia="宋体"/>
        <w:lang w:val="en-US" w:eastAsia="zh-CN"/>
      </w:rPr>
    </w:pPr>
    <w:r>
      <w:rPr>
        <w:rFonts w:hint="eastAsia"/>
      </w:rPr>
      <w:t xml:space="preserve">                </w:t>
    </w:r>
    <w:r>
      <w:rPr>
        <w:rFonts w:hint="eastAsia"/>
        <w:lang w:val="en-US" w:eastAsia="zh-CN"/>
      </w:rPr>
      <w:t>{PartHeadB}</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
  <w:p/>
  <w:p/>
  <w:p/>
  <w:p/>
  <w:p/>
  <w:p/>
  <w:p/>
  <w:p/>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A027BA"/>
    <w:multiLevelType w:val="multilevel"/>
    <w:tmpl w:val="42A027BA"/>
    <w:lvl w:ilvl="0" w:tentative="0">
      <w:start w:val="1"/>
      <w:numFmt w:val="decimal"/>
      <w:lvlText w:val="第%1条"/>
      <w:lvlJc w:val="left"/>
      <w:pPr>
        <w:tabs>
          <w:tab w:val="left" w:pos="425"/>
        </w:tabs>
        <w:ind w:left="425" w:hanging="425"/>
      </w:pPr>
      <w:rPr>
        <w:rFonts w:hint="eastAsia"/>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D48"/>
    <w:rsid w:val="00021441"/>
    <w:rsid w:val="00042E3E"/>
    <w:rsid w:val="00051BF2"/>
    <w:rsid w:val="00065E98"/>
    <w:rsid w:val="000877B7"/>
    <w:rsid w:val="000B3B42"/>
    <w:rsid w:val="00152597"/>
    <w:rsid w:val="001C0901"/>
    <w:rsid w:val="002040BA"/>
    <w:rsid w:val="00246BC9"/>
    <w:rsid w:val="00356039"/>
    <w:rsid w:val="00412198"/>
    <w:rsid w:val="004C07F6"/>
    <w:rsid w:val="005023A9"/>
    <w:rsid w:val="00503FDA"/>
    <w:rsid w:val="00536782"/>
    <w:rsid w:val="005577CF"/>
    <w:rsid w:val="0060609D"/>
    <w:rsid w:val="0062392A"/>
    <w:rsid w:val="00670E22"/>
    <w:rsid w:val="00687695"/>
    <w:rsid w:val="00695A9A"/>
    <w:rsid w:val="006B28EF"/>
    <w:rsid w:val="007102D2"/>
    <w:rsid w:val="00725FCE"/>
    <w:rsid w:val="00733474"/>
    <w:rsid w:val="007425D6"/>
    <w:rsid w:val="007748DB"/>
    <w:rsid w:val="00782C88"/>
    <w:rsid w:val="00831FE8"/>
    <w:rsid w:val="00866F18"/>
    <w:rsid w:val="008B06D5"/>
    <w:rsid w:val="009D604D"/>
    <w:rsid w:val="009E573F"/>
    <w:rsid w:val="00A04870"/>
    <w:rsid w:val="00A92DB2"/>
    <w:rsid w:val="00AA28E1"/>
    <w:rsid w:val="00AF7908"/>
    <w:rsid w:val="00B519FC"/>
    <w:rsid w:val="00B63767"/>
    <w:rsid w:val="00B709E2"/>
    <w:rsid w:val="00BB5C90"/>
    <w:rsid w:val="00BC24CD"/>
    <w:rsid w:val="00BD07E3"/>
    <w:rsid w:val="00C247E2"/>
    <w:rsid w:val="00C869DA"/>
    <w:rsid w:val="00CF76D2"/>
    <w:rsid w:val="00D141AF"/>
    <w:rsid w:val="00D406EE"/>
    <w:rsid w:val="00D43217"/>
    <w:rsid w:val="00D50284"/>
    <w:rsid w:val="00D85D48"/>
    <w:rsid w:val="00DD42E0"/>
    <w:rsid w:val="00E03F07"/>
    <w:rsid w:val="00E84A2E"/>
    <w:rsid w:val="00E8729C"/>
    <w:rsid w:val="00EF3B47"/>
    <w:rsid w:val="00FD0FDF"/>
    <w:rsid w:val="05157FBF"/>
    <w:rsid w:val="10C14DA2"/>
    <w:rsid w:val="1C28529A"/>
    <w:rsid w:val="2A72111E"/>
    <w:rsid w:val="3E55742B"/>
    <w:rsid w:val="46CA7B91"/>
    <w:rsid w:val="4BF56979"/>
    <w:rsid w:val="521701C7"/>
    <w:rsid w:val="5C023A4D"/>
    <w:rsid w:val="75477F5F"/>
    <w:rsid w:val="756A79D5"/>
    <w:rsid w:val="7FF9552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523" w:leftChars="218" w:firstLine="540"/>
      <w:jc w:val="both"/>
    </w:pPr>
    <w:rPr>
      <w:rFonts w:ascii="Times New Roman" w:hAnsi="Times New Roman" w:eastAsia="宋体" w:cs="Times New Roman"/>
      <w:kern w:val="2"/>
      <w:sz w:val="24"/>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Indent"/>
    <w:basedOn w:val="1"/>
    <w:link w:val="9"/>
    <w:qFormat/>
    <w:uiPriority w:val="0"/>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character" w:customStyle="1" w:styleId="9">
    <w:name w:val="正文文本缩进 Char"/>
    <w:link w:val="2"/>
    <w:uiPriority w:val="0"/>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4</Pages>
  <Words>628</Words>
  <Characters>3580</Characters>
  <Lines>29</Lines>
  <Paragraphs>8</Paragraphs>
  <TotalTime>0</TotalTime>
  <ScaleCrop>false</ScaleCrop>
  <LinksUpToDate>false</LinksUpToDate>
  <CharactersWithSpaces>4200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2016-08-22T09:09:00Z</dcterms:created>
  <dc:creator>0613</dc:creator>
  <cp:lastModifiedBy>空心菜</cp:lastModifiedBy>
  <cp:lastPrinted>2018-10-08T03:37:00Z</cp:lastPrinted>
  <dcterms:modified xsi:type="dcterms:W3CDTF">2020-12-11T07:06:27Z</dcterms:modified>
  <dc:title>协议编号：</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