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rPr>
      </w:pPr>
      <w:r>
        <w:rPr>
          <w:rFonts w:hint="eastAsia"/>
          <w:color w:val="000000"/>
        </w:rPr>
        <w:t>供应链服务协议</w:t>
      </w:r>
    </w:p>
    <w:p>
      <w:pPr>
        <w:spacing w:line="340" w:lineRule="exact"/>
        <w:ind w:firstLine="480"/>
        <w:jc w:val="right"/>
        <w:rPr>
          <w:rFonts w:ascii="宋体" w:hAnsi="宋体"/>
          <w:color w:val="000000"/>
          <w:szCs w:val="21"/>
        </w:rPr>
      </w:pPr>
      <w:r>
        <w:rPr>
          <w:rFonts w:hint="eastAsia" w:ascii="宋体" w:hAnsi="宋体"/>
          <w:color w:val="000000"/>
          <w:szCs w:val="21"/>
        </w:rPr>
        <w:t>编号：『</w:t>
      </w:r>
      <w:r>
        <w:rPr>
          <w:rFonts w:hint="eastAsia" w:ascii="宋体" w:hAnsi="宋体"/>
          <w:color w:val="000000"/>
          <w:szCs w:val="21"/>
          <w:lang w:val="en-US" w:eastAsia="zh-CN"/>
        </w:rPr>
        <w:t>XDT-XXXX</w:t>
      </w:r>
      <w:r>
        <w:rPr>
          <w:rFonts w:hint="eastAsia" w:ascii="宋体" w:hAnsi="宋体"/>
          <w:color w:val="000000"/>
          <w:szCs w:val="21"/>
        </w:rPr>
        <w:t>-</w:t>
      </w:r>
      <w:r>
        <w:rPr>
          <w:rFonts w:hint="eastAsia" w:ascii="宋体" w:hAnsi="宋体"/>
          <w:color w:val="000000"/>
          <w:szCs w:val="21"/>
          <w:lang w:val="en-US" w:eastAsia="zh-CN"/>
        </w:rPr>
        <w:t>{Date}</w:t>
      </w:r>
      <w:r>
        <w:rPr>
          <w:rFonts w:hint="eastAsia" w:ascii="宋体" w:hAnsi="宋体"/>
          <w:color w:val="000000"/>
          <w:szCs w:val="21"/>
        </w:rPr>
        <w:t>』</w:t>
      </w:r>
    </w:p>
    <w:p>
      <w:pPr>
        <w:spacing w:line="340" w:lineRule="exact"/>
        <w:ind w:firstLine="420" w:firstLineChars="200"/>
        <w:rPr>
          <w:rFonts w:ascii="宋体" w:hAnsi="宋体"/>
          <w:color w:val="000000"/>
          <w:szCs w:val="21"/>
        </w:rPr>
      </w:pPr>
      <w:r>
        <w:rPr>
          <w:rFonts w:hint="eastAsia" w:ascii="宋体" w:hAnsi="宋体"/>
          <w:color w:val="000000"/>
          <w:szCs w:val="21"/>
        </w:rPr>
        <w:t>本协议由以下双方于</w:t>
      </w:r>
      <w:r>
        <w:rPr>
          <w:rFonts w:hint="eastAsia" w:ascii="宋体" w:hAnsi="宋体"/>
          <w:color w:val="000000"/>
          <w:szCs w:val="21"/>
          <w:lang w:val="en-US" w:eastAsia="zh-CN"/>
        </w:rPr>
        <w:t>{Year}</w:t>
      </w:r>
      <w:r>
        <w:rPr>
          <w:rFonts w:hint="eastAsia" w:ascii="宋体" w:hAnsi="宋体"/>
          <w:color w:val="000000"/>
          <w:szCs w:val="21"/>
        </w:rPr>
        <w:t>年</w:t>
      </w:r>
      <w:r>
        <w:rPr>
          <w:rFonts w:hint="eastAsia" w:ascii="宋体" w:hAnsi="宋体"/>
          <w:color w:val="000000"/>
          <w:szCs w:val="21"/>
          <w:lang w:val="en-US" w:eastAsia="zh-CN"/>
        </w:rPr>
        <w:t>{Month}</w:t>
      </w:r>
      <w:r>
        <w:rPr>
          <w:rFonts w:hint="eastAsia" w:ascii="宋体" w:hAnsi="宋体"/>
          <w:color w:val="000000"/>
          <w:szCs w:val="21"/>
        </w:rPr>
        <w:t>月</w:t>
      </w:r>
      <w:r>
        <w:rPr>
          <w:rFonts w:hint="eastAsia" w:ascii="宋体" w:hAnsi="宋体"/>
          <w:color w:val="000000"/>
          <w:szCs w:val="21"/>
          <w:lang w:val="en-US" w:eastAsia="zh-CN"/>
        </w:rPr>
        <w:t>{Day}</w:t>
      </w:r>
      <w:r>
        <w:rPr>
          <w:rFonts w:hint="eastAsia" w:ascii="宋体" w:hAnsi="宋体"/>
          <w:color w:val="000000"/>
          <w:szCs w:val="21"/>
        </w:rPr>
        <w:t>日在中华人民共和国（以下简称“中国”）【深圳】市签订：</w:t>
      </w:r>
    </w:p>
    <w:p>
      <w:pPr>
        <w:spacing w:after="0" w:line="340" w:lineRule="exact"/>
        <w:ind w:firstLine="420" w:firstLineChars="200"/>
        <w:rPr>
          <w:rFonts w:hint="eastAsia" w:ascii="宋体" w:hAnsi="宋体"/>
          <w:color w:val="000000"/>
          <w:szCs w:val="21"/>
        </w:rPr>
      </w:pPr>
    </w:p>
    <w:p>
      <w:pPr>
        <w:spacing w:line="340" w:lineRule="exact"/>
        <w:ind w:firstLine="482"/>
        <w:rPr>
          <w:rFonts w:ascii="宋体" w:hAnsi="宋体"/>
          <w:b/>
          <w:color w:val="000000" w:themeColor="text1"/>
          <w:szCs w:val="21"/>
          <w14:textFill>
            <w14:solidFill>
              <w14:schemeClr w14:val="tx1"/>
            </w14:solidFill>
          </w14:textFill>
        </w:rPr>
      </w:pPr>
      <w:r>
        <w:rPr>
          <w:rFonts w:hint="eastAsia" w:ascii="宋体" w:hAnsi="宋体"/>
          <w:b/>
          <w:color w:val="000000"/>
          <w:szCs w:val="21"/>
        </w:rPr>
        <w:t>甲方（委托方）：</w:t>
      </w:r>
      <w:r>
        <w:rPr>
          <w:rFonts w:hint="eastAsia" w:ascii="宋体" w:hAnsi="宋体"/>
          <w:b/>
          <w:color w:val="000000"/>
          <w:szCs w:val="21"/>
          <w:lang w:val="en-US" w:eastAsia="zh-CN"/>
        </w:rPr>
        <w:t>{CompanyName}</w:t>
      </w:r>
    </w:p>
    <w:p>
      <w:pPr>
        <w:spacing w:line="340" w:lineRule="exact"/>
        <w:ind w:firstLine="48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注册地址：</w:t>
      </w:r>
      <w:r>
        <w:rPr>
          <w:rFonts w:hint="eastAsia"/>
          <w:szCs w:val="21"/>
          <w:lang w:val="en-US" w:eastAsia="zh-CN"/>
        </w:rPr>
        <w:t>{RegisteredAddress}</w:t>
      </w:r>
    </w:p>
    <w:p>
      <w:pPr>
        <w:spacing w:line="340" w:lineRule="exact"/>
        <w:ind w:left="1109" w:leftChars="228" w:hanging="630" w:hangingChars="300"/>
        <w:rPr>
          <w:rFonts w:ascii="宋体" w:hAnsi="宋体"/>
          <w:color w:val="000000" w:themeColor="text1"/>
          <w:szCs w:val="21"/>
          <w14:textFill>
            <w14:solidFill>
              <w14:schemeClr w14:val="tx1"/>
            </w14:solidFill>
          </w14:textFill>
        </w:rPr>
      </w:pPr>
      <w:r>
        <w:rPr>
          <w:rFonts w:hint="eastAsia" w:ascii="宋体" w:hAnsi="宋体"/>
          <w:color w:val="000000"/>
          <w:szCs w:val="21"/>
        </w:rPr>
        <w:t>法定代表人</w:t>
      </w:r>
      <w:r>
        <w:rPr>
          <w:rFonts w:hint="eastAsia" w:ascii="宋体" w:hAnsi="宋体"/>
          <w:color w:val="000000"/>
          <w:szCs w:val="21"/>
          <w:lang w:eastAsia="zh-CN"/>
        </w:rPr>
        <w:t>：</w:t>
      </w:r>
      <w:r>
        <w:rPr>
          <w:rFonts w:hint="eastAsia" w:ascii="宋体" w:hAnsi="宋体"/>
          <w:color w:val="000000"/>
          <w:szCs w:val="21"/>
          <w:lang w:val="en-US" w:eastAsia="zh-CN"/>
        </w:rPr>
        <w:t>{LegalPerson}</w:t>
      </w:r>
      <w:bookmarkStart w:id="0" w:name="_GoBack"/>
      <w:bookmarkEnd w:id="0"/>
    </w:p>
    <w:p>
      <w:pPr>
        <w:spacing w:line="340" w:lineRule="exact"/>
        <w:ind w:firstLine="480"/>
        <w:rPr>
          <w:rFonts w:ascii="宋体" w:hAnsi="宋体"/>
          <w:color w:val="000000"/>
          <w:szCs w:val="21"/>
        </w:rPr>
      </w:pPr>
    </w:p>
    <w:p>
      <w:pPr>
        <w:spacing w:line="340" w:lineRule="exact"/>
        <w:ind w:firstLine="482"/>
        <w:rPr>
          <w:rFonts w:ascii="宋体" w:hAnsi="宋体"/>
          <w:b/>
          <w:color w:val="000000"/>
          <w:szCs w:val="21"/>
        </w:rPr>
      </w:pPr>
      <w:r>
        <w:rPr>
          <w:rFonts w:hint="eastAsia" w:ascii="宋体" w:hAnsi="宋体"/>
          <w:b/>
          <w:color w:val="000000"/>
          <w:szCs w:val="21"/>
        </w:rPr>
        <w:t>乙方（受托方）：深圳市</w:t>
      </w:r>
      <w:r>
        <w:rPr>
          <w:rFonts w:hint="eastAsia" w:ascii="宋体" w:hAnsi="宋体"/>
          <w:b/>
          <w:color w:val="000000"/>
          <w:szCs w:val="21"/>
          <w:lang w:eastAsia="zh-CN"/>
        </w:rPr>
        <w:t>芯达通</w:t>
      </w:r>
      <w:r>
        <w:rPr>
          <w:rFonts w:hint="eastAsia" w:ascii="宋体" w:hAnsi="宋体"/>
          <w:b/>
          <w:color w:val="000000"/>
          <w:szCs w:val="21"/>
        </w:rPr>
        <w:t>供应链管理有限公司</w:t>
      </w:r>
    </w:p>
    <w:p>
      <w:pPr>
        <w:spacing w:line="400" w:lineRule="exact"/>
        <w:ind w:firstLine="480"/>
        <w:rPr>
          <w:rFonts w:ascii="宋体" w:hAnsi="宋体"/>
          <w:color w:val="000000"/>
          <w:szCs w:val="21"/>
        </w:rPr>
      </w:pPr>
      <w:r>
        <w:rPr>
          <w:rFonts w:hint="eastAsia" w:ascii="宋体" w:hAnsi="宋体"/>
          <w:color w:val="000000"/>
          <w:szCs w:val="21"/>
        </w:rPr>
        <w:t>注册地址：深圳市龙岗区</w:t>
      </w:r>
      <w:r>
        <w:rPr>
          <w:rFonts w:hint="eastAsia" w:ascii="宋体" w:hAnsi="宋体"/>
          <w:color w:val="000000"/>
          <w:szCs w:val="21"/>
          <w:lang w:eastAsia="zh-CN"/>
        </w:rPr>
        <w:t>吉华街道水径社区吉华路</w:t>
      </w:r>
      <w:r>
        <w:rPr>
          <w:rFonts w:hint="eastAsia" w:ascii="宋体" w:hAnsi="宋体"/>
          <w:color w:val="000000"/>
          <w:szCs w:val="21"/>
          <w:lang w:val="en-US" w:eastAsia="zh-CN"/>
        </w:rPr>
        <w:t>393号英达丰工业区A栋厂房101</w:t>
      </w:r>
    </w:p>
    <w:p>
      <w:pPr>
        <w:spacing w:line="340" w:lineRule="exact"/>
        <w:ind w:firstLine="480"/>
        <w:rPr>
          <w:rFonts w:hint="default" w:ascii="宋体" w:hAnsi="宋体" w:eastAsia="宋体"/>
          <w:color w:val="000000"/>
          <w:szCs w:val="21"/>
          <w:lang w:val="en-US" w:eastAsia="zh-CN"/>
        </w:rPr>
      </w:pPr>
      <w:r>
        <w:rPr>
          <w:rFonts w:hint="eastAsia" w:ascii="宋体" w:hAnsi="宋体"/>
          <w:color w:val="000000"/>
          <w:szCs w:val="21"/>
        </w:rPr>
        <w:t>办公地址：深圳市龙岗区</w:t>
      </w:r>
      <w:r>
        <w:rPr>
          <w:rFonts w:hint="eastAsia" w:ascii="宋体" w:hAnsi="宋体"/>
          <w:color w:val="000000"/>
          <w:szCs w:val="21"/>
          <w:lang w:eastAsia="zh-CN"/>
        </w:rPr>
        <w:t>吉华街道水径社区吉华路</w:t>
      </w:r>
      <w:r>
        <w:rPr>
          <w:rFonts w:hint="eastAsia" w:ascii="宋体" w:hAnsi="宋体"/>
          <w:color w:val="000000"/>
          <w:szCs w:val="21"/>
          <w:lang w:val="en-US" w:eastAsia="zh-CN"/>
        </w:rPr>
        <w:t>393号英达丰工业区A栋厂房101</w:t>
      </w:r>
    </w:p>
    <w:p>
      <w:pPr>
        <w:spacing w:line="340" w:lineRule="exact"/>
        <w:ind w:firstLine="480"/>
        <w:rPr>
          <w:rFonts w:hint="eastAsia" w:ascii="宋体" w:hAnsi="宋体"/>
          <w:color w:val="000000"/>
          <w:szCs w:val="21"/>
          <w:lang w:eastAsia="zh-CN"/>
        </w:rPr>
      </w:pPr>
      <w:r>
        <w:rPr>
          <w:rFonts w:hint="eastAsia" w:ascii="宋体" w:hAnsi="宋体"/>
          <w:color w:val="000000"/>
          <w:szCs w:val="21"/>
        </w:rPr>
        <w:t>法定代表人：</w:t>
      </w:r>
      <w:r>
        <w:rPr>
          <w:rFonts w:hint="eastAsia" w:ascii="宋体" w:hAnsi="宋体"/>
          <w:color w:val="000000"/>
          <w:szCs w:val="21"/>
          <w:lang w:eastAsia="zh-CN"/>
        </w:rPr>
        <w:t>孙圣雷</w:t>
      </w:r>
    </w:p>
    <w:p>
      <w:pPr>
        <w:spacing w:line="340" w:lineRule="exact"/>
        <w:ind w:firstLine="480"/>
        <w:rPr>
          <w:rFonts w:hint="eastAsia" w:ascii="宋体" w:hAnsi="宋体"/>
          <w:color w:val="000000"/>
          <w:szCs w:val="21"/>
          <w:lang w:eastAsia="zh-CN"/>
        </w:rPr>
      </w:pPr>
    </w:p>
    <w:p>
      <w:pPr>
        <w:spacing w:line="340" w:lineRule="exact"/>
        <w:ind w:firstLine="420" w:firstLineChars="200"/>
        <w:rPr>
          <w:rFonts w:ascii="宋体" w:hAnsi="宋体"/>
          <w:color w:val="000000"/>
          <w:szCs w:val="21"/>
        </w:rPr>
      </w:pPr>
      <w:r>
        <w:rPr>
          <w:rFonts w:hint="eastAsia" w:ascii="宋体" w:hAnsi="宋体"/>
          <w:color w:val="000000"/>
          <w:szCs w:val="21"/>
        </w:rPr>
        <w:t>根据《中华人民共和国对外贸易法》、《中华人民共和国合同法》及其他相关法律法规的规定，甲、乙双方经友好协商，就甲方委托乙方代理进口包括但不限于【电子元器等】</w:t>
      </w:r>
      <w:r>
        <w:rPr>
          <w:rFonts w:ascii="宋体" w:hAnsi="宋体"/>
          <w:color w:val="000000"/>
          <w:szCs w:val="21"/>
        </w:rPr>
        <w:t>(</w:t>
      </w:r>
      <w:r>
        <w:rPr>
          <w:rFonts w:hint="eastAsia" w:ascii="宋体" w:hAnsi="宋体"/>
          <w:color w:val="000000"/>
          <w:szCs w:val="21"/>
        </w:rPr>
        <w:t>以下称“货物”</w:t>
      </w:r>
      <w:r>
        <w:rPr>
          <w:rFonts w:ascii="宋体" w:hAnsi="宋体"/>
          <w:color w:val="000000"/>
          <w:szCs w:val="21"/>
        </w:rPr>
        <w:t>)</w:t>
      </w:r>
      <w:r>
        <w:rPr>
          <w:rFonts w:hint="eastAsia" w:ascii="宋体" w:hAnsi="宋体"/>
          <w:color w:val="000000"/>
          <w:szCs w:val="21"/>
        </w:rPr>
        <w:t>事宜，达成协议如下：</w:t>
      </w:r>
    </w:p>
    <w:p>
      <w:pPr>
        <w:spacing w:line="340" w:lineRule="exact"/>
        <w:ind w:firstLine="420" w:firstLineChars="200"/>
        <w:rPr>
          <w:rFonts w:ascii="宋体" w:hAnsi="宋体"/>
          <w:color w:val="000000"/>
          <w:szCs w:val="21"/>
        </w:rPr>
      </w:pP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进口代理</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甲方就每批需委托乙方代理进口的货物编制《委托进口货物确认单》，该《委托进口货物确认单》需经乙方书面认可后，乙方方提供本协议第三条约定的从【深圳】口岸代理进口货物的供应链服务。</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甲方责任和义务</w:t>
      </w:r>
    </w:p>
    <w:p>
      <w:pPr>
        <w:numPr>
          <w:ilvl w:val="0"/>
          <w:numId w:val="2"/>
        </w:numPr>
        <w:tabs>
          <w:tab w:val="left" w:pos="1080"/>
        </w:tabs>
        <w:spacing w:line="340" w:lineRule="exact"/>
        <w:rPr>
          <w:rFonts w:ascii="宋体" w:hAnsi="宋体"/>
          <w:color w:val="000000"/>
          <w:szCs w:val="21"/>
        </w:rPr>
      </w:pPr>
      <w:r>
        <w:rPr>
          <w:rFonts w:hint="eastAsia"/>
          <w:color w:val="000000"/>
          <w:szCs w:val="21"/>
        </w:rPr>
        <w:t>甲方必须在乙方报关前及时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w:t>
      </w:r>
      <w:r>
        <w:rPr>
          <w:rFonts w:hint="eastAsia" w:ascii="宋体" w:hAnsi="宋体"/>
          <w:color w:val="000000"/>
          <w:szCs w:val="21"/>
        </w:rPr>
        <w:t>乙方报关、清关等过程中遭受任何损失的，甲方应负责足额赔偿；如因甲方货物未在香港完成进口清关程序，产生相对应的罚款由甲方承担。</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甲方应按照本协议第四条的约定，及时将购买货物所需的全部货款、代理费、仓前费及委托乙方代为支付的各项费用付至乙方帐户。</w:t>
      </w:r>
    </w:p>
    <w:p>
      <w:pPr>
        <w:numPr>
          <w:ilvl w:val="0"/>
          <w:numId w:val="2"/>
        </w:numPr>
        <w:tabs>
          <w:tab w:val="left" w:pos="1080"/>
        </w:tabs>
        <w:spacing w:line="340" w:lineRule="exact"/>
        <w:rPr>
          <w:rFonts w:ascii="宋体" w:hAnsi="宋体"/>
          <w:color w:val="000000"/>
          <w:szCs w:val="21"/>
        </w:rPr>
      </w:pPr>
      <w:r>
        <w:rPr>
          <w:rFonts w:hint="eastAsia" w:ascii="宋体" w:hAnsi="宋体"/>
          <w:color w:val="000000"/>
          <w:szCs w:val="21"/>
        </w:rPr>
        <w:t>除本协议第</w:t>
      </w:r>
      <w:r>
        <w:rPr>
          <w:rFonts w:ascii="宋体" w:hAnsi="宋体"/>
          <w:color w:val="000000"/>
          <w:szCs w:val="21"/>
        </w:rPr>
        <w:t>5.3</w:t>
      </w:r>
      <w:r>
        <w:rPr>
          <w:rFonts w:hint="eastAsia" w:ascii="宋体" w:hAnsi="宋体"/>
          <w:color w:val="000000"/>
          <w:szCs w:val="21"/>
        </w:rPr>
        <w:t>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乙方责任和义务</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乙方按照甲方确认的《委托进口货物确认单》内容代甲方办理货物的进口报关手续。</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乙方根据本协议以自己或者甲方代理人的名义单独或者与甲方一起与境外供货商或其他第三方签订进口合同（以下称“进口合同”）。</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乙方在收到甲方按照本协议第四条支付的货款后，代甲方办理对外付汇手续。乙方按照甲方确认的《付款</w:t>
      </w:r>
      <w:r>
        <w:rPr>
          <w:rFonts w:ascii="宋体" w:hAnsi="宋体"/>
          <w:color w:val="000000"/>
          <w:szCs w:val="21"/>
        </w:rPr>
        <w:t>/</w:t>
      </w:r>
      <w:r>
        <w:rPr>
          <w:rFonts w:hint="eastAsia" w:ascii="宋体" w:hAnsi="宋体"/>
          <w:color w:val="000000"/>
          <w:szCs w:val="21"/>
        </w:rPr>
        <w:t>汇委托确认书》内容代甲方对外付款。甲方须定时将业务委托文件原件邮寄给乙方。</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甲方授权甲方人员（见附件 《授权书》）对《委托进口货物确认单》及《付款</w:t>
      </w:r>
      <w:r>
        <w:rPr>
          <w:rFonts w:ascii="宋体" w:hAnsi="宋体"/>
          <w:color w:val="000000"/>
          <w:szCs w:val="21"/>
        </w:rPr>
        <w:t>/</w:t>
      </w:r>
      <w:r>
        <w:rPr>
          <w:rFonts w:hint="eastAsia" w:ascii="宋体" w:hAnsi="宋体"/>
          <w:color w:val="000000"/>
          <w:szCs w:val="21"/>
        </w:rPr>
        <w:t>汇委托确认书》进行确认。如甲方授权人员发生变化，须提前一周邮件或书面知会乙方，否则因甲方授权人员离职或其他原因导致的在货物委托进口、付汇/付款及收发货等方面产生的损失由甲方承担。</w:t>
      </w:r>
    </w:p>
    <w:p>
      <w:pPr>
        <w:numPr>
          <w:ilvl w:val="0"/>
          <w:numId w:val="3"/>
        </w:numPr>
        <w:tabs>
          <w:tab w:val="left" w:pos="1080"/>
        </w:tabs>
        <w:spacing w:line="340" w:lineRule="exact"/>
        <w:rPr>
          <w:rFonts w:hint="eastAsia" w:ascii="宋体" w:hAnsi="宋体"/>
          <w:color w:val="000000"/>
          <w:szCs w:val="21"/>
        </w:rPr>
      </w:pPr>
      <w:r>
        <w:rPr>
          <w:rFonts w:hint="default" w:ascii="Times New Roman" w:hAnsi="Times New Roman" w:cs="Times New Roman"/>
          <w:kern w:val="0"/>
          <w:sz w:val="21"/>
          <w:szCs w:val="21"/>
        </w:rPr>
        <w:t>HONGKONG </w:t>
      </w:r>
      <w:r>
        <w:rPr>
          <w:rFonts w:hint="default" w:ascii="Times New Roman" w:hAnsi="Times New Roman" w:cs="Times New Roman"/>
          <w:kern w:val="0"/>
          <w:sz w:val="21"/>
          <w:szCs w:val="21"/>
          <w:lang w:val="en-US" w:eastAsia="zh-CN"/>
        </w:rPr>
        <w:t>CHANGYUN</w:t>
      </w:r>
      <w:r>
        <w:rPr>
          <w:rFonts w:hint="default" w:ascii="Times New Roman" w:hAnsi="Times New Roman" w:cs="Times New Roman"/>
          <w:kern w:val="0"/>
          <w:sz w:val="21"/>
          <w:szCs w:val="21"/>
        </w:rPr>
        <w:t> INTERNATIONAL LOGISTICS CO., LIMITED</w:t>
      </w:r>
      <w:r>
        <w:rPr>
          <w:rFonts w:hint="default" w:ascii="Times New Roman" w:hAnsi="Times New Roman" w:cs="Times New Roman"/>
          <w:kern w:val="0"/>
          <w:sz w:val="21"/>
          <w:szCs w:val="21"/>
          <w:lang w:val="en-US" w:eastAsia="zh-CN"/>
        </w:rPr>
        <w:tab/>
      </w:r>
      <w:r>
        <w:rPr>
          <w:rFonts w:hint="eastAsia" w:cs="宋体"/>
          <w:kern w:val="0"/>
          <w:sz w:val="21"/>
          <w:szCs w:val="21"/>
          <w:lang w:val="en-US" w:eastAsia="zh-CN"/>
        </w:rPr>
        <w:t xml:space="preserve">      </w:t>
      </w:r>
      <w:r>
        <w:rPr>
          <w:rFonts w:hint="eastAsia" w:ascii="宋体" w:hAnsi="宋体"/>
          <w:color w:val="000000"/>
          <w:szCs w:val="21"/>
          <w:lang w:val="en-US" w:eastAsia="zh-CN"/>
        </w:rPr>
        <w:t xml:space="preserve">             香港畅运國際物流有限公司（以下简称“畅运”）是乙方为进行国际贸易及跨境物流行业所必需的仓储、交易等活动而依法合作的香港公司。甲方同意其所委托的代理进口货物的境外部分将由畅运负责实施。当甲方要求乙方先行支付境外货款时，乙方指定畅运向甲方指定供货商支付美金或港币货款。当畅运在境外支付货款给甲方指定的供货方时，甲方便不得以任何理由取消当次委托。否则，甲方同意向乙方支付全部损失。</w:t>
      </w:r>
    </w:p>
    <w:p>
      <w:pPr>
        <w:numPr>
          <w:ilvl w:val="0"/>
          <w:numId w:val="3"/>
        </w:numPr>
        <w:tabs>
          <w:tab w:val="left" w:pos="1080"/>
        </w:tabs>
        <w:spacing w:line="340" w:lineRule="exact"/>
        <w:rPr>
          <w:rFonts w:ascii="宋体" w:hAnsi="宋体"/>
          <w:color w:val="000000"/>
          <w:szCs w:val="21"/>
        </w:rPr>
      </w:pPr>
      <w:r>
        <w:rPr>
          <w:rFonts w:hint="eastAsia" w:ascii="宋体" w:hAnsi="宋体"/>
          <w:color w:val="000000"/>
          <w:szCs w:val="21"/>
        </w:rPr>
        <w:t>乙方提供的本条约定的服务统称“供应链服务”，乙方有权将本协议约定的供应链服务分包给其它第三方。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color w:val="000000"/>
          <w:szCs w:val="21"/>
        </w:rPr>
        <w:t>《</w:t>
      </w:r>
      <w:r>
        <w:rPr>
          <w:rFonts w:hint="eastAsia" w:ascii="宋体" w:hAnsi="宋体"/>
          <w:b/>
          <w:color w:val="000000"/>
          <w:szCs w:val="21"/>
        </w:rPr>
        <w:t>进口合同</w:t>
      </w:r>
      <w:r>
        <w:rPr>
          <w:rFonts w:hint="eastAsia" w:ascii="宋体" w:hAnsi="宋体"/>
          <w:color w:val="000000"/>
          <w:szCs w:val="21"/>
        </w:rPr>
        <w:t>》</w:t>
      </w:r>
      <w:r>
        <w:rPr>
          <w:rFonts w:hint="eastAsia" w:ascii="宋体" w:hAnsi="宋体"/>
          <w:b/>
          <w:color w:val="000000"/>
          <w:szCs w:val="21"/>
        </w:rPr>
        <w:t>货款、代理费、通关及其支付和结算</w:t>
      </w:r>
    </w:p>
    <w:p>
      <w:pPr>
        <w:numPr>
          <w:ilvl w:val="0"/>
          <w:numId w:val="4"/>
        </w:numPr>
        <w:tabs>
          <w:tab w:val="left" w:pos="1080"/>
        </w:tabs>
        <w:spacing w:line="340" w:lineRule="exact"/>
        <w:rPr>
          <w:rFonts w:asciiTheme="minorEastAsia" w:hAnsiTheme="minorEastAsia" w:eastAsiaTheme="minorEastAsia"/>
          <w:szCs w:val="21"/>
        </w:rPr>
      </w:pPr>
      <w:r>
        <w:rPr>
          <w:rFonts w:hint="eastAsia" w:asciiTheme="minorEastAsia" w:hAnsiTheme="minorEastAsia" w:eastAsiaTheme="minorEastAsia"/>
          <w:szCs w:val="21"/>
        </w:rPr>
        <w:t>有关货款、代理费、通关及其支付和结算的具体报价参考协议的附件</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综合费具体包括：从乙方指定的香港仓库至甲方深圳指定地点的进口环节中所发生的香港至深圳的中港运输费、装卸费、保险费、乙方指定的香港仓库及乙方深圳仓库的仓储费、香港出口报关费、深圳进口报关费、打单费、查车费以及深圳地区的一次送货费。未在本款列明的费用（包括但不限于：法定商检费、银行费用、仓前费、国际运费</w:t>
      </w:r>
      <w:r>
        <w:rPr>
          <w:rFonts w:asciiTheme="minorEastAsia" w:hAnsiTheme="minorEastAsia" w:eastAsiaTheme="minorEastAsia"/>
          <w:szCs w:val="21"/>
        </w:rPr>
        <w:t>/</w:t>
      </w:r>
      <w:r>
        <w:rPr>
          <w:rFonts w:hint="eastAsia" w:asciiTheme="minorEastAsia" w:hAnsiTheme="minorEastAsia" w:eastAsiaTheme="minorEastAsia"/>
          <w:szCs w:val="21"/>
        </w:rPr>
        <w:t>保险费</w:t>
      </w:r>
      <w:r>
        <w:rPr>
          <w:rFonts w:asciiTheme="minorEastAsia" w:hAnsiTheme="minorEastAsia" w:eastAsiaTheme="minorEastAsia"/>
          <w:szCs w:val="21"/>
        </w:rPr>
        <w:t>/</w:t>
      </w:r>
      <w:r>
        <w:rPr>
          <w:rFonts w:hint="eastAsia" w:asciiTheme="minorEastAsia" w:hAnsiTheme="minorEastAsia" w:eastAsiaTheme="minorEastAsia"/>
          <w:szCs w:val="21"/>
        </w:rPr>
        <w:t>码头费</w:t>
      </w:r>
      <w:r>
        <w:rPr>
          <w:rFonts w:asciiTheme="minorEastAsia" w:hAnsiTheme="minorEastAsia" w:eastAsiaTheme="minorEastAsia"/>
          <w:szCs w:val="21"/>
        </w:rPr>
        <w:t>/</w:t>
      </w:r>
      <w:r>
        <w:rPr>
          <w:rFonts w:hint="eastAsia" w:asciiTheme="minorEastAsia" w:hAnsiTheme="minorEastAsia" w:eastAsiaTheme="minorEastAsia"/>
          <w:szCs w:val="21"/>
        </w:rPr>
        <w:t>提货费、香港入口报关费、乙方仓库超期仓储费、深圳至甲方指定的其它目的地运输费等）由甲方自行承担。</w:t>
      </w:r>
    </w:p>
    <w:p>
      <w:pPr>
        <w:numPr>
          <w:ilvl w:val="0"/>
          <w:numId w:val="4"/>
        </w:numPr>
        <w:tabs>
          <w:tab w:val="left" w:pos="1080"/>
        </w:tabs>
        <w:spacing w:line="340" w:lineRule="exact"/>
        <w:rPr>
          <w:rFonts w:hint="eastAsia" w:asciiTheme="minorEastAsia" w:hAnsiTheme="minorEastAsia" w:eastAsiaTheme="minorEastAsia"/>
          <w:szCs w:val="21"/>
        </w:rPr>
      </w:pPr>
      <w:r>
        <w:rPr>
          <w:rFonts w:hint="eastAsia" w:asciiTheme="minorEastAsia" w:hAnsiTheme="minorEastAsia" w:eastAsiaTheme="minorEastAsia"/>
          <w:szCs w:val="21"/>
        </w:rPr>
        <w:t>甲方应按附件</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约定给乙方支付货款，乙方按约定开具发票。</w:t>
      </w:r>
    </w:p>
    <w:p>
      <w:pPr>
        <w:numPr>
          <w:ilvl w:val="0"/>
          <w:numId w:val="4"/>
        </w:numPr>
        <w:tabs>
          <w:tab w:val="left" w:pos="1080"/>
        </w:tabs>
        <w:spacing w:line="340" w:lineRule="exact"/>
        <w:rPr>
          <w:rFonts w:asciiTheme="minorEastAsia" w:hAnsiTheme="minorEastAsia" w:eastAsiaTheme="minorEastAsia"/>
          <w:szCs w:val="21"/>
        </w:rPr>
      </w:pPr>
      <w:r>
        <w:rPr>
          <w:rFonts w:hint="eastAsia" w:asciiTheme="minorEastAsia" w:hAnsiTheme="minorEastAsia" w:eastAsiaTheme="minorEastAsia"/>
          <w:szCs w:val="21"/>
        </w:rPr>
        <w:t>甲方应在有效期内安排付汇，付汇手续费实结。进口对外付汇额度90天内有效。</w:t>
      </w:r>
    </w:p>
    <w:p>
      <w:pPr>
        <w:numPr>
          <w:ilvl w:val="0"/>
          <w:numId w:val="4"/>
        </w:numPr>
        <w:tabs>
          <w:tab w:val="left" w:pos="1080"/>
        </w:tabs>
        <w:spacing w:line="340" w:lineRule="exact"/>
        <w:rPr>
          <w:rFonts w:ascii="宋体" w:hAnsi="宋体"/>
          <w:color w:val="000000"/>
          <w:szCs w:val="21"/>
        </w:rPr>
      </w:pPr>
      <w:r>
        <w:rPr>
          <w:rFonts w:hint="eastAsia" w:ascii="宋体" w:hAnsi="宋体"/>
          <w:color w:val="000000"/>
          <w:szCs w:val="21"/>
        </w:rPr>
        <w:t>如因海关对甲方进口商品归类或货物价格进行重新核定，而导致增加的进口环节关税和增值税全部由甲方承担，甲方应在收到乙方书面通知之日起三日内依据海关出具的《补税通知书》中确认金额向乙方支付相应款项并赔偿乙方因此遭受的任何损失。</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货物交付、验收以及风险承担</w:t>
      </w:r>
    </w:p>
    <w:p>
      <w:pPr>
        <w:numPr>
          <w:ilvl w:val="0"/>
          <w:numId w:val="5"/>
        </w:numPr>
        <w:spacing w:line="340" w:lineRule="exact"/>
        <w:rPr>
          <w:rFonts w:ascii="宋体" w:hAnsi="宋体"/>
          <w:color w:val="000000"/>
          <w:szCs w:val="21"/>
        </w:rPr>
      </w:pPr>
      <w:r>
        <w:rPr>
          <w:rFonts w:hint="eastAsia" w:ascii="宋体" w:hAnsi="宋体"/>
          <w:color w:val="000000"/>
          <w:szCs w:val="21"/>
        </w:rPr>
        <w:t>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numPr>
          <w:ilvl w:val="0"/>
          <w:numId w:val="5"/>
        </w:numPr>
        <w:spacing w:line="340" w:lineRule="exact"/>
        <w:rPr>
          <w:rFonts w:ascii="宋体" w:hAnsi="宋体"/>
          <w:color w:val="000000"/>
          <w:szCs w:val="21"/>
        </w:rPr>
      </w:pPr>
      <w:r>
        <w:rPr>
          <w:rFonts w:hint="eastAsia" w:ascii="宋体" w:hAnsi="宋体"/>
          <w:color w:val="000000"/>
          <w:szCs w:val="21"/>
        </w:rPr>
        <w:t>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numPr>
          <w:ilvl w:val="0"/>
          <w:numId w:val="5"/>
        </w:numPr>
        <w:spacing w:line="340" w:lineRule="exact"/>
        <w:rPr>
          <w:rFonts w:ascii="宋体" w:hAnsi="宋体"/>
          <w:color w:val="000000"/>
          <w:szCs w:val="21"/>
        </w:rPr>
      </w:pPr>
      <w:r>
        <w:rPr>
          <w:rFonts w:hint="eastAsia" w:ascii="宋体" w:hAnsi="宋体"/>
          <w:color w:val="000000"/>
          <w:szCs w:val="21"/>
        </w:rPr>
        <w:t>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numPr>
          <w:ilvl w:val="0"/>
          <w:numId w:val="5"/>
        </w:numPr>
        <w:spacing w:line="340" w:lineRule="exact"/>
        <w:rPr>
          <w:rFonts w:ascii="宋体" w:hAnsi="宋体"/>
          <w:color w:val="000000"/>
          <w:szCs w:val="21"/>
        </w:rPr>
      </w:pPr>
      <w:r>
        <w:rPr>
          <w:rFonts w:hint="eastAsia" w:ascii="宋体" w:hAnsi="宋体"/>
          <w:color w:val="000000"/>
          <w:szCs w:val="21"/>
        </w:rPr>
        <w:t>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w:t>
      </w:r>
      <w:r>
        <w:rPr>
          <w:rFonts w:ascii="宋体" w:hAnsi="宋体"/>
          <w:color w:val="000000"/>
          <w:szCs w:val="21"/>
        </w:rPr>
        <w:t xml:space="preserve">, </w:t>
      </w:r>
      <w:r>
        <w:rPr>
          <w:rFonts w:hint="eastAsia" w:ascii="宋体" w:hAnsi="宋体"/>
          <w:color w:val="000000"/>
          <w:szCs w:val="21"/>
        </w:rPr>
        <w:t>甲方应承担相应责任。</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合同的变更</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乙方根据本协议与甲方指定境外供货商签署《进口合同》后，除乙方和境外供货商均书面同意的情况下，甲方不得要求更改《进口合同》的内容。</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保密条款</w:t>
      </w:r>
    </w:p>
    <w:p>
      <w:pPr>
        <w:tabs>
          <w:tab w:val="left" w:pos="1080"/>
        </w:tabs>
        <w:spacing w:line="340" w:lineRule="exact"/>
        <w:ind w:left="563" w:leftChars="268"/>
        <w:rPr>
          <w:rFonts w:ascii="宋体" w:hAnsi="宋体"/>
          <w:color w:val="000000"/>
          <w:szCs w:val="21"/>
        </w:rPr>
      </w:pPr>
      <w:r>
        <w:rPr>
          <w:rFonts w:hint="eastAsia" w:ascii="宋体" w:hAnsi="宋体"/>
          <w:color w:val="000000"/>
          <w:szCs w:val="21"/>
        </w:rPr>
        <w:t>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违约责任</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如甲方未按照本协议第四条的规定及时支付有关款项，应按逾期支付款项的</w:t>
      </w:r>
      <w:r>
        <w:rPr>
          <w:rFonts w:ascii="宋体" w:hAnsi="宋体"/>
          <w:color w:val="000000"/>
          <w:szCs w:val="21"/>
        </w:rPr>
        <w:t>0.1</w:t>
      </w: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日的标准向乙方支付滞纳金，且乙方有权暂停代理行为，由此造成的损失由甲方承担；逾期付款超过</w:t>
      </w:r>
      <w:r>
        <w:rPr>
          <w:rFonts w:ascii="宋体" w:hAnsi="宋体"/>
          <w:color w:val="000000"/>
          <w:szCs w:val="21"/>
        </w:rPr>
        <w:t>30</w:t>
      </w:r>
      <w:r>
        <w:rPr>
          <w:rFonts w:hint="eastAsia" w:ascii="宋体" w:hAnsi="宋体"/>
          <w:color w:val="000000"/>
          <w:szCs w:val="21"/>
        </w:rPr>
        <w:t>日的，乙方有权解除本协议并要求甲方赔偿因此遭受的一切损失。</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在甲方按照本合同第四条的规定支付全部款项前，乙方有权留置代理甲方进口的货物。若甲方迟延付款超过</w:t>
      </w:r>
      <w:r>
        <w:rPr>
          <w:rFonts w:ascii="宋体" w:hAnsi="宋体"/>
          <w:color w:val="000000"/>
          <w:szCs w:val="21"/>
        </w:rPr>
        <w:t>30</w:t>
      </w:r>
      <w:r>
        <w:rPr>
          <w:rFonts w:hint="eastAsia" w:ascii="宋体" w:hAnsi="宋体"/>
          <w:color w:val="000000"/>
          <w:szCs w:val="21"/>
        </w:rPr>
        <w:t>日，乙方有权变卖留置的货物，并就变卖后的价款优先受偿。</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如甲方未能及时提取货物，应承担延迟提货期间发生的货物仓储费及其它费用；甲方逾期超过</w:t>
      </w:r>
      <w:r>
        <w:rPr>
          <w:rFonts w:ascii="宋体" w:hAnsi="宋体"/>
          <w:color w:val="000000"/>
          <w:szCs w:val="21"/>
        </w:rPr>
        <w:t>90</w:t>
      </w:r>
      <w:r>
        <w:rPr>
          <w:rFonts w:hint="eastAsia" w:ascii="宋体" w:hAnsi="宋体"/>
          <w:color w:val="000000"/>
          <w:szCs w:val="21"/>
        </w:rPr>
        <w:t>日不提货的，乙方有权解除本协议并变卖未提取货物，并就变卖后的价款优先受偿。</w:t>
      </w:r>
    </w:p>
    <w:p>
      <w:pPr>
        <w:numPr>
          <w:ilvl w:val="0"/>
          <w:numId w:val="6"/>
        </w:numPr>
        <w:tabs>
          <w:tab w:val="left" w:pos="1080"/>
        </w:tabs>
        <w:spacing w:line="340" w:lineRule="exact"/>
        <w:rPr>
          <w:rFonts w:ascii="宋体" w:hAnsi="宋体"/>
          <w:color w:val="000000"/>
          <w:szCs w:val="21"/>
        </w:rPr>
      </w:pPr>
      <w:r>
        <w:rPr>
          <w:rFonts w:hint="eastAsia" w:ascii="宋体" w:hAnsi="宋体"/>
          <w:color w:val="000000"/>
          <w:szCs w:val="21"/>
        </w:rPr>
        <w:t>甲方拒绝履行本协议下的义务或乙方为履行本协议及《进口合同》而提出的合理要求，而导致乙方不能对外履行《进口合同》或提供本协议下供应链服务的，由此产生的一切损失由甲方全部承担，如造成乙方损失的，甲方应足额赔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争议的解决</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境外供货商存在违约行为，甲方决定向境外供货商索赔的，乙方应根据甲方的书面通知，协助甲方向境外供货商提出索赔。乙方因此而支付的有关费用或者受到的任何损失，应由甲方给予充分补偿。</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甲乙双方同意，在执行本协议过程中所发生的纠纷应首先通过友好协商解决；协商不成的，任何一方均可向深圳市</w:t>
      </w:r>
      <w:r>
        <w:rPr>
          <w:rFonts w:hint="eastAsia" w:ascii="宋体" w:hAnsi="宋体"/>
          <w:color w:val="000000"/>
          <w:szCs w:val="21"/>
          <w:lang w:val="en-US" w:eastAsia="zh-CN"/>
        </w:rPr>
        <w:t>龙岗</w:t>
      </w:r>
      <w:r>
        <w:rPr>
          <w:rFonts w:hint="eastAsia" w:ascii="宋体" w:hAnsi="宋体"/>
          <w:color w:val="000000"/>
          <w:szCs w:val="21"/>
        </w:rPr>
        <w:t>区人民法院提请诉讼，本协议适用中华人民共和国法律。</w:t>
      </w:r>
    </w:p>
    <w:p>
      <w:pPr>
        <w:numPr>
          <w:ilvl w:val="0"/>
          <w:numId w:val="7"/>
        </w:numPr>
        <w:tabs>
          <w:tab w:val="left" w:pos="1080"/>
        </w:tabs>
        <w:spacing w:line="340" w:lineRule="exact"/>
        <w:rPr>
          <w:rFonts w:ascii="宋体" w:hAnsi="宋体"/>
          <w:color w:val="000000"/>
          <w:szCs w:val="21"/>
        </w:rPr>
      </w:pPr>
      <w:r>
        <w:rPr>
          <w:rFonts w:hint="eastAsia" w:ascii="宋体" w:hAnsi="宋体"/>
          <w:color w:val="000000"/>
          <w:szCs w:val="21"/>
        </w:rPr>
        <w:t>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numPr>
          <w:ilvl w:val="0"/>
          <w:numId w:val="1"/>
        </w:numPr>
        <w:tabs>
          <w:tab w:val="left" w:pos="840"/>
          <w:tab w:val="clear" w:pos="2258"/>
        </w:tabs>
        <w:spacing w:line="340" w:lineRule="exact"/>
        <w:ind w:left="840"/>
        <w:rPr>
          <w:rFonts w:ascii="宋体" w:hAnsi="宋体"/>
          <w:b/>
          <w:color w:val="000000"/>
          <w:szCs w:val="21"/>
        </w:rPr>
      </w:pPr>
      <w:r>
        <w:rPr>
          <w:rFonts w:hint="eastAsia" w:ascii="宋体" w:hAnsi="宋体"/>
          <w:b/>
          <w:color w:val="000000"/>
          <w:szCs w:val="21"/>
        </w:rPr>
        <w:t>其他约定</w:t>
      </w:r>
    </w:p>
    <w:p>
      <w:pPr>
        <w:numPr>
          <w:ilvl w:val="0"/>
          <w:numId w:val="8"/>
        </w:numPr>
        <w:tabs>
          <w:tab w:val="left" w:pos="1080"/>
        </w:tabs>
        <w:spacing w:line="340" w:lineRule="exact"/>
        <w:rPr>
          <w:rFonts w:ascii="宋体" w:hAnsi="宋体"/>
          <w:color w:val="000000"/>
          <w:szCs w:val="21"/>
        </w:rPr>
      </w:pPr>
      <w:r>
        <w:rPr>
          <w:rFonts w:hint="eastAsia" w:ascii="宋体" w:hAnsi="宋体"/>
          <w:color w:val="000000"/>
          <w:szCs w:val="21"/>
        </w:rPr>
        <w:t>本协议有效期自</w:t>
      </w:r>
      <w:r>
        <w:rPr>
          <w:rFonts w:hint="eastAsia" w:ascii="宋体" w:hAnsi="宋体"/>
          <w:color w:val="000000"/>
          <w:szCs w:val="21"/>
          <w:lang w:val="en-US" w:eastAsia="zh-CN"/>
        </w:rPr>
        <w:t>{AgreementStartDate}</w:t>
      </w:r>
      <w:r>
        <w:rPr>
          <w:rFonts w:hint="eastAsia" w:ascii="宋体" w:hAnsi="宋体"/>
          <w:color w:val="000000"/>
          <w:szCs w:val="21"/>
        </w:rPr>
        <w:t>起至</w:t>
      </w:r>
      <w:r>
        <w:rPr>
          <w:rFonts w:hint="eastAsia" w:ascii="宋体" w:hAnsi="宋体"/>
          <w:color w:val="000000"/>
          <w:szCs w:val="21"/>
          <w:lang w:val="en-US" w:eastAsia="zh-CN"/>
        </w:rPr>
        <w:t>{AgreementEndDate}</w:t>
      </w:r>
      <w:r>
        <w:rPr>
          <w:rFonts w:hint="eastAsia" w:ascii="宋体" w:hAnsi="宋体"/>
          <w:color w:val="000000"/>
          <w:szCs w:val="21"/>
        </w:rPr>
        <w:t>止，为期【</w:t>
      </w:r>
      <w:r>
        <w:rPr>
          <w:rFonts w:hint="eastAsia" w:ascii="宋体" w:hAnsi="宋体"/>
          <w:color w:val="000000"/>
          <w:szCs w:val="21"/>
          <w:lang w:val="en-US" w:eastAsia="zh-CN"/>
        </w:rPr>
        <w:t>{Years}</w:t>
      </w:r>
      <w:r>
        <w:rPr>
          <w:rFonts w:hint="eastAsia" w:ascii="宋体" w:hAnsi="宋体"/>
          <w:color w:val="000000"/>
          <w:szCs w:val="21"/>
        </w:rPr>
        <w:t>】年。本协议到期前，如甲乙双方未重新签订，则本协议有效无限期自动顺延。若合同变更，则双方签署《补充协议》为主合同的有效附件，具有同等法律地位。</w:t>
      </w:r>
    </w:p>
    <w:p>
      <w:pPr>
        <w:numPr>
          <w:ilvl w:val="0"/>
          <w:numId w:val="8"/>
        </w:numPr>
        <w:tabs>
          <w:tab w:val="left" w:pos="1080"/>
        </w:tabs>
        <w:spacing w:line="340" w:lineRule="exact"/>
        <w:rPr>
          <w:rFonts w:ascii="宋体" w:hAnsi="宋体"/>
          <w:color w:val="000000"/>
          <w:szCs w:val="21"/>
        </w:rPr>
      </w:pPr>
      <w:r>
        <w:rPr>
          <w:rFonts w:hint="eastAsia" w:ascii="宋体" w:hAnsi="宋体"/>
          <w:color w:val="000000"/>
          <w:szCs w:val="21"/>
        </w:rPr>
        <w:t>本协议一式两份，甲乙双方各持一份，具有同等法律效力。本协议由双方加盖公章（或合同专用章）后生效。</w:t>
      </w:r>
    </w:p>
    <w:p>
      <w:pPr>
        <w:tabs>
          <w:tab w:val="left" w:pos="1080"/>
        </w:tabs>
        <w:spacing w:line="340" w:lineRule="exact"/>
        <w:ind w:left="567"/>
        <w:rPr>
          <w:rFonts w:ascii="宋体" w:hAnsi="宋体"/>
          <w:color w:val="000000"/>
          <w:szCs w:val="21"/>
        </w:rPr>
      </w:pPr>
    </w:p>
    <w:p>
      <w:pPr>
        <w:spacing w:line="340" w:lineRule="exact"/>
        <w:rPr>
          <w:rFonts w:hint="eastAsia" w:ascii="宋体" w:hAnsi="宋体"/>
          <w:b/>
          <w:color w:val="000000"/>
          <w:szCs w:val="21"/>
        </w:rPr>
      </w:pPr>
      <w:r>
        <w:rPr>
          <w:rFonts w:hint="eastAsia" w:ascii="宋体" w:hAnsi="宋体"/>
          <w:b/>
          <w:color w:val="000000"/>
          <w:szCs w:val="21"/>
        </w:rPr>
        <w:t>附件</w:t>
      </w:r>
      <w:r>
        <w:rPr>
          <w:rFonts w:ascii="宋体" w:hAnsi="宋体"/>
          <w:b/>
          <w:color w:val="000000"/>
          <w:szCs w:val="21"/>
        </w:rPr>
        <w:t>1</w:t>
      </w:r>
      <w:r>
        <w:rPr>
          <w:rFonts w:hint="eastAsia" w:ascii="宋体" w:hAnsi="宋体"/>
          <w:b/>
          <w:color w:val="000000"/>
          <w:szCs w:val="21"/>
        </w:rPr>
        <w:t>：授权书</w:t>
      </w:r>
    </w:p>
    <w:p>
      <w:pPr>
        <w:spacing w:line="340" w:lineRule="exact"/>
        <w:rPr>
          <w:rFonts w:hint="default" w:ascii="宋体" w:hAnsi="宋体" w:eastAsia="宋体"/>
          <w:b/>
          <w:color w:val="000000"/>
          <w:szCs w:val="21"/>
          <w:lang w:val="en-US" w:eastAsia="zh-CN"/>
        </w:rPr>
      </w:pPr>
      <w:r>
        <w:rPr>
          <w:rFonts w:hint="eastAsia" w:ascii="宋体" w:hAnsi="宋体"/>
          <w:b/>
          <w:color w:val="000000"/>
          <w:szCs w:val="21"/>
        </w:rPr>
        <w:t>附件</w:t>
      </w:r>
      <w:r>
        <w:rPr>
          <w:rFonts w:hint="eastAsia" w:ascii="宋体" w:hAnsi="宋体"/>
          <w:b/>
          <w:color w:val="000000"/>
          <w:szCs w:val="21"/>
          <w:lang w:val="en-US" w:eastAsia="zh-CN"/>
        </w:rPr>
        <w:t>2</w:t>
      </w:r>
      <w:r>
        <w:rPr>
          <w:rFonts w:hint="eastAsia" w:ascii="宋体" w:hAnsi="宋体"/>
          <w:b/>
          <w:color w:val="000000"/>
          <w:szCs w:val="21"/>
        </w:rPr>
        <w:t>：</w:t>
      </w:r>
      <w:r>
        <w:rPr>
          <w:rFonts w:hint="eastAsia" w:ascii="宋体" w:hAnsi="宋体"/>
          <w:b/>
          <w:color w:val="000000"/>
          <w:szCs w:val="21"/>
          <w:lang w:val="en-US" w:eastAsia="zh-CN"/>
        </w:rPr>
        <w:t>补充协议</w:t>
      </w:r>
    </w:p>
    <w:p>
      <w:pPr>
        <w:spacing w:line="340" w:lineRule="exact"/>
        <w:rPr>
          <w:rFonts w:hint="eastAsia" w:ascii="宋体" w:hAnsi="宋体"/>
          <w:b/>
          <w:color w:val="000000"/>
          <w:szCs w:val="21"/>
        </w:rPr>
      </w:pPr>
      <w:r>
        <w:rPr>
          <w:rFonts w:hint="eastAsia" w:ascii="宋体" w:hAnsi="宋体"/>
          <w:b/>
          <w:color w:val="000000"/>
          <w:szCs w:val="21"/>
        </w:rPr>
        <w:t>附件</w:t>
      </w:r>
      <w:r>
        <w:rPr>
          <w:rFonts w:hint="eastAsia" w:ascii="宋体" w:hAnsi="宋体"/>
          <w:b/>
          <w:color w:val="000000"/>
          <w:szCs w:val="21"/>
          <w:lang w:val="en-US" w:eastAsia="zh-CN"/>
        </w:rPr>
        <w:t>3</w:t>
      </w:r>
      <w:r>
        <w:rPr>
          <w:rFonts w:hint="eastAsia" w:ascii="宋体" w:hAnsi="宋体"/>
          <w:b/>
          <w:color w:val="000000"/>
          <w:szCs w:val="21"/>
        </w:rPr>
        <w:t>：超重货物收费明细</w:t>
      </w:r>
    </w:p>
    <w:p>
      <w:pPr>
        <w:spacing w:line="340" w:lineRule="exact"/>
        <w:rPr>
          <w:rFonts w:hint="eastAsia" w:ascii="宋体" w:hAnsi="宋体"/>
          <w:b/>
          <w:color w:val="000000"/>
          <w:szCs w:val="21"/>
        </w:rPr>
      </w:pPr>
      <w:r>
        <w:rPr>
          <w:rFonts w:hint="eastAsia" w:ascii="宋体" w:hAnsi="宋体"/>
          <w:b/>
          <w:color w:val="000000"/>
          <w:szCs w:val="21"/>
        </w:rPr>
        <w:t>附件</w:t>
      </w:r>
      <w:r>
        <w:rPr>
          <w:rFonts w:hint="eastAsia" w:ascii="宋体" w:hAnsi="宋体"/>
          <w:b/>
          <w:color w:val="000000"/>
          <w:szCs w:val="21"/>
          <w:lang w:val="en-US" w:eastAsia="zh-CN"/>
        </w:rPr>
        <w:t>4</w:t>
      </w:r>
      <w:r>
        <w:rPr>
          <w:rFonts w:hint="eastAsia" w:ascii="宋体" w:hAnsi="宋体"/>
          <w:b/>
          <w:color w:val="000000"/>
          <w:szCs w:val="21"/>
        </w:rPr>
        <w:t>：商业合作伙伴贸易安全协议书</w:t>
      </w:r>
    </w:p>
    <w:p>
      <w:pPr>
        <w:spacing w:line="340" w:lineRule="exact"/>
        <w:rPr>
          <w:rFonts w:hint="eastAsia" w:ascii="宋体" w:hAnsi="宋体"/>
          <w:b/>
          <w:color w:val="000000"/>
          <w:szCs w:val="21"/>
        </w:rPr>
      </w:pPr>
    </w:p>
    <w:p>
      <w:pPr>
        <w:spacing w:line="340" w:lineRule="exact"/>
        <w:rPr>
          <w:rFonts w:ascii="宋体" w:hAnsi="宋体"/>
          <w:b/>
          <w:color w:val="000000"/>
          <w:szCs w:val="21"/>
        </w:rPr>
      </w:pPr>
    </w:p>
    <w:p>
      <w:pPr>
        <w:spacing w:line="340" w:lineRule="exact"/>
        <w:rPr>
          <w:rFonts w:ascii="宋体" w:hAnsi="宋体"/>
          <w:b/>
          <w:color w:val="000000" w:themeColor="text1"/>
          <w:szCs w:val="21"/>
          <w14:textFill>
            <w14:solidFill>
              <w14:schemeClr w14:val="tx1"/>
            </w14:solidFill>
          </w14:textFill>
        </w:rPr>
      </w:pPr>
      <w:r>
        <w:rPr>
          <w:rFonts w:hint="eastAsia" w:ascii="宋体" w:hAnsi="宋体"/>
          <w:b/>
          <w:color w:val="000000"/>
          <w:szCs w:val="21"/>
        </w:rPr>
        <w:t>甲方：</w:t>
      </w:r>
      <w:r>
        <w:rPr>
          <w:rFonts w:hint="eastAsia" w:ascii="宋体" w:hAnsi="宋体"/>
          <w:b/>
          <w:color w:val="000000"/>
          <w:szCs w:val="21"/>
          <w:lang w:val="en-US" w:eastAsia="zh-CN"/>
        </w:rPr>
        <w:t>{CompanyName}</w:t>
      </w:r>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color w:val="000000"/>
          <w:szCs w:val="21"/>
        </w:rPr>
      </w:pPr>
      <w:r>
        <w:rPr>
          <w:rFonts w:hint="eastAsia" w:ascii="宋体" w:hAnsi="宋体"/>
          <w:color w:val="000000"/>
          <w:szCs w:val="21"/>
        </w:rPr>
        <w:t>签约日期：</w:t>
      </w:r>
    </w:p>
    <w:p>
      <w:pPr>
        <w:spacing w:line="340" w:lineRule="exact"/>
        <w:rPr>
          <w:rFonts w:ascii="宋体" w:hAnsi="宋体"/>
          <w:b/>
          <w:color w:val="000000"/>
          <w:szCs w:val="21"/>
        </w:rPr>
      </w:pPr>
      <w:r>
        <w:rPr>
          <w:rFonts w:ascii="宋体" w:hAnsi="宋体"/>
          <w:b/>
          <w:color w:val="000000"/>
          <w:szCs w:val="21"/>
        </w:rPr>
        <w:t xml:space="preserve"> </w:t>
      </w:r>
    </w:p>
    <w:p>
      <w:pPr>
        <w:spacing w:line="340" w:lineRule="exact"/>
        <w:rPr>
          <w:rFonts w:ascii="宋体" w:hAnsi="宋体"/>
          <w:b/>
          <w:color w:val="000000"/>
          <w:szCs w:val="21"/>
        </w:rPr>
      </w:pPr>
      <w:r>
        <w:rPr>
          <w:rFonts w:hint="eastAsia" w:ascii="宋体" w:hAnsi="宋体"/>
          <w:b/>
          <w:color w:val="000000"/>
          <w:szCs w:val="21"/>
        </w:rPr>
        <w:t>乙方：深圳市</w:t>
      </w:r>
      <w:r>
        <w:rPr>
          <w:rFonts w:hint="eastAsia" w:ascii="宋体" w:hAnsi="宋体"/>
          <w:b/>
          <w:color w:val="000000"/>
          <w:szCs w:val="21"/>
          <w:lang w:val="en-US" w:eastAsia="zh-CN"/>
        </w:rPr>
        <w:t>芯达通</w:t>
      </w:r>
      <w:r>
        <w:rPr>
          <w:rFonts w:hint="eastAsia" w:ascii="宋体" w:hAnsi="宋体"/>
          <w:b/>
          <w:color w:val="000000"/>
          <w:szCs w:val="21"/>
        </w:rPr>
        <w:t>供应链管理有限公司</w:t>
      </w:r>
    </w:p>
    <w:p>
      <w:pPr>
        <w:spacing w:line="340" w:lineRule="exact"/>
        <w:rPr>
          <w:rFonts w:ascii="宋体" w:hAnsi="宋体"/>
          <w:color w:val="000000"/>
          <w:szCs w:val="21"/>
        </w:rPr>
      </w:pPr>
      <w:r>
        <w:rPr>
          <w:rFonts w:hint="eastAsia" w:ascii="宋体" w:hAnsi="宋体"/>
          <w:color w:val="000000"/>
          <w:szCs w:val="21"/>
        </w:rPr>
        <w:t>签约代表：</w:t>
      </w:r>
    </w:p>
    <w:p>
      <w:pPr>
        <w:spacing w:line="340" w:lineRule="exact"/>
        <w:rPr>
          <w:rFonts w:ascii="宋体" w:hAnsi="宋体"/>
          <w:color w:val="000000"/>
          <w:szCs w:val="21"/>
        </w:rPr>
      </w:pPr>
      <w:r>
        <w:rPr>
          <w:rFonts w:hint="eastAsia" w:ascii="宋体" w:hAnsi="宋体"/>
          <w:color w:val="000000"/>
          <w:szCs w:val="21"/>
        </w:rPr>
        <w:t>签约日期：</w:t>
      </w:r>
    </w:p>
    <w:p>
      <w:pPr>
        <w:spacing w:line="340" w:lineRule="exact"/>
        <w:rPr>
          <w:b/>
          <w:color w:val="000000"/>
          <w:kern w:val="0"/>
          <w:szCs w:val="21"/>
        </w:rPr>
      </w:pPr>
    </w:p>
    <w:p>
      <w:pPr>
        <w:widowControl/>
        <w:jc w:val="left"/>
        <w:rPr>
          <w:rFonts w:ascii="宋体" w:hAnsi="宋体"/>
          <w:color w:val="000000"/>
          <w:szCs w:val="21"/>
        </w:rPr>
      </w:pPr>
    </w:p>
    <w:p>
      <w:pPr>
        <w:tabs>
          <w:tab w:val="left" w:pos="1080"/>
        </w:tabs>
        <w:spacing w:line="340" w:lineRule="exact"/>
        <w:ind w:left="426" w:leftChars="203"/>
        <w:rPr>
          <w:rFonts w:ascii="宋体" w:hAnsi="宋体"/>
          <w:color w:val="000000"/>
          <w:szCs w:val="21"/>
        </w:rPr>
      </w:pPr>
    </w:p>
    <w:p>
      <w:pPr>
        <w:pStyle w:val="3"/>
        <w:jc w:val="center"/>
        <w:rPr>
          <w:rFonts w:ascii="Times New Roman" w:hAnsi="Times New Roman"/>
          <w:color w:val="000000"/>
        </w:rPr>
      </w:pPr>
    </w:p>
    <w:p/>
    <w:p/>
    <w:p/>
    <w:p/>
    <w:p>
      <w:pPr>
        <w:pStyle w:val="3"/>
        <w:jc w:val="center"/>
        <w:rPr>
          <w:rFonts w:hint="default" w:ascii="Times New Roman" w:hAnsi="Times New Roman" w:eastAsia="黑体"/>
          <w:color w:val="000000"/>
          <w:lang w:val="en-US" w:eastAsia="zh-CN"/>
        </w:rPr>
      </w:pPr>
      <w:r>
        <w:rPr>
          <w:rFonts w:hint="eastAsia" w:ascii="Times New Roman" w:hAnsi="Times New Roman"/>
          <w:color w:val="000000"/>
          <w:lang w:val="en-US" w:eastAsia="zh-CN"/>
        </w:rPr>
        <w:t>附件1</w:t>
      </w:r>
    </w:p>
    <w:p>
      <w:pPr>
        <w:pStyle w:val="3"/>
        <w:jc w:val="center"/>
        <w:rPr>
          <w:rFonts w:ascii="Times New Roman" w:hAnsi="Times New Roman"/>
          <w:color w:val="000000"/>
        </w:rPr>
      </w:pPr>
      <w:r>
        <w:rPr>
          <w:rFonts w:hint="eastAsia" w:ascii="Times New Roman" w:hAnsi="Times New Roman"/>
          <w:color w:val="000000"/>
        </w:rPr>
        <w:t>授</w:t>
      </w:r>
      <w:r>
        <w:rPr>
          <w:rFonts w:ascii="Times New Roman" w:hAnsi="Times New Roman"/>
          <w:color w:val="000000"/>
        </w:rPr>
        <w:t xml:space="preserve"> </w:t>
      </w:r>
      <w:r>
        <w:rPr>
          <w:rFonts w:hint="eastAsia" w:ascii="Times New Roman" w:hAnsi="Times New Roman"/>
          <w:color w:val="000000"/>
        </w:rPr>
        <w:t>权</w:t>
      </w:r>
      <w:r>
        <w:rPr>
          <w:rFonts w:ascii="Times New Roman" w:hAnsi="Times New Roman"/>
          <w:color w:val="000000"/>
        </w:rPr>
        <w:t xml:space="preserve"> </w:t>
      </w:r>
      <w:r>
        <w:rPr>
          <w:rFonts w:hint="eastAsia" w:ascii="Times New Roman" w:hAnsi="Times New Roman"/>
          <w:color w:val="000000"/>
        </w:rPr>
        <w:t>书</w:t>
      </w:r>
    </w:p>
    <w:p>
      <w:pPr>
        <w:adjustRightInd w:val="0"/>
        <w:snapToGrid w:val="0"/>
        <w:spacing w:line="420" w:lineRule="exact"/>
        <w:ind w:firstLine="420" w:firstLineChars="200"/>
        <w:jc w:val="left"/>
        <w:rPr>
          <w:color w:val="000000"/>
          <w:szCs w:val="21"/>
        </w:rPr>
      </w:pPr>
      <w:r>
        <w:rPr>
          <w:rFonts w:hint="eastAsia"/>
          <w:color w:val="000000"/>
          <w:szCs w:val="21"/>
        </w:rPr>
        <w:t>兹授权我司以下人员在与深圳市</w:t>
      </w:r>
      <w:r>
        <w:rPr>
          <w:rFonts w:hint="eastAsia"/>
          <w:color w:val="000000"/>
          <w:szCs w:val="21"/>
          <w:lang w:val="en-US" w:eastAsia="zh-CN"/>
        </w:rPr>
        <w:t>芯达通</w:t>
      </w:r>
      <w:r>
        <w:rPr>
          <w:rFonts w:hint="eastAsia"/>
          <w:color w:val="000000"/>
          <w:szCs w:val="21"/>
        </w:rPr>
        <w:t>供应链管理有限公司的业务往来中所签署的业务单证（《</w:t>
      </w:r>
      <w:r>
        <w:rPr>
          <w:rFonts w:hint="eastAsia" w:ascii="宋体" w:hAnsi="宋体"/>
          <w:color w:val="000000"/>
          <w:szCs w:val="21"/>
        </w:rPr>
        <w:t>委托进口货物确认单</w:t>
      </w:r>
      <w:r>
        <w:rPr>
          <w:rFonts w:hint="eastAsia"/>
          <w:color w:val="000000"/>
          <w:szCs w:val="21"/>
        </w:rPr>
        <w:t>》、《付汇委托书》、《货物签收单》等）均视为有效。本授权书有效期限与供应链服务协议一致；以上授权人员如有更改，我司将以书面形式通知。</w:t>
      </w:r>
    </w:p>
    <w:p>
      <w:pPr>
        <w:adjustRightInd w:val="0"/>
        <w:snapToGrid w:val="0"/>
        <w:spacing w:line="420" w:lineRule="exact"/>
        <w:ind w:firstLine="420" w:firstLineChars="200"/>
        <w:jc w:val="left"/>
        <w:rPr>
          <w:color w:val="000000"/>
          <w:szCs w:val="21"/>
        </w:rPr>
      </w:pPr>
      <w:r>
        <w:rPr>
          <w:rFonts w:hint="eastAsia"/>
          <w:color w:val="000000"/>
          <w:szCs w:val="21"/>
        </w:rPr>
        <w:t>授权代表签字具体如下：</w:t>
      </w:r>
    </w:p>
    <w:p>
      <w:pPr>
        <w:adjustRightInd w:val="0"/>
        <w:snapToGrid w:val="0"/>
        <w:spacing w:line="420" w:lineRule="exact"/>
        <w:ind w:firstLine="420" w:firstLineChars="200"/>
        <w:jc w:val="left"/>
        <w:rPr>
          <w:color w:val="000000"/>
          <w:szCs w:val="21"/>
        </w:rPr>
      </w:pPr>
    </w:p>
    <w:tbl>
      <w:tblPr>
        <w:tblStyle w:val="11"/>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序号</w:t>
            </w:r>
          </w:p>
        </w:tc>
        <w:tc>
          <w:tcPr>
            <w:tcW w:w="87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姓名</w:t>
            </w:r>
          </w:p>
        </w:tc>
        <w:tc>
          <w:tcPr>
            <w:tcW w:w="155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签字样式</w:t>
            </w:r>
          </w:p>
        </w:tc>
        <w:tc>
          <w:tcPr>
            <w:tcW w:w="2551"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授权范围</w:t>
            </w:r>
          </w:p>
        </w:tc>
        <w:tc>
          <w:tcPr>
            <w:tcW w:w="311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联系电话及邮箱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1</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进口委托确认及货物相关信息确认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2</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对帐确认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line="420" w:lineRule="exact"/>
              <w:jc w:val="center"/>
              <w:rPr>
                <w:color w:val="000000"/>
                <w:kern w:val="0"/>
                <w:sz w:val="20"/>
                <w:szCs w:val="21"/>
              </w:rPr>
            </w:pPr>
            <w:r>
              <w:rPr>
                <w:color w:val="000000"/>
                <w:kern w:val="0"/>
                <w:sz w:val="20"/>
                <w:szCs w:val="21"/>
              </w:rPr>
              <w:t>3</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付汇委托确认</w:t>
            </w:r>
          </w:p>
        </w:tc>
        <w:tc>
          <w:tcPr>
            <w:tcW w:w="3119" w:type="dxa"/>
            <w:vAlign w:val="center"/>
          </w:tcPr>
          <w:p>
            <w:pPr>
              <w:adjustRightInd w:val="0"/>
              <w:snapToGrid w:val="0"/>
              <w:spacing w:line="420" w:lineRule="exact"/>
              <w:rPr>
                <w:color w:val="000000"/>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line="420" w:lineRule="exact"/>
              <w:jc w:val="center"/>
              <w:rPr>
                <w:color w:val="000000"/>
                <w:kern w:val="0"/>
                <w:sz w:val="20"/>
                <w:szCs w:val="21"/>
              </w:rPr>
            </w:pPr>
            <w:r>
              <w:rPr>
                <w:rFonts w:hint="eastAsia"/>
                <w:color w:val="000000"/>
                <w:kern w:val="0"/>
                <w:sz w:val="20"/>
                <w:szCs w:val="21"/>
              </w:rPr>
              <w:t>4</w:t>
            </w:r>
          </w:p>
        </w:tc>
        <w:tc>
          <w:tcPr>
            <w:tcW w:w="879" w:type="dxa"/>
            <w:vAlign w:val="center"/>
          </w:tcPr>
          <w:p>
            <w:pPr>
              <w:adjustRightInd w:val="0"/>
              <w:snapToGrid w:val="0"/>
              <w:spacing w:line="420" w:lineRule="exact"/>
              <w:rPr>
                <w:color w:val="000000"/>
                <w:kern w:val="0"/>
                <w:sz w:val="20"/>
                <w:szCs w:val="21"/>
              </w:rPr>
            </w:pPr>
          </w:p>
        </w:tc>
        <w:tc>
          <w:tcPr>
            <w:tcW w:w="1559" w:type="dxa"/>
            <w:vAlign w:val="center"/>
          </w:tcPr>
          <w:p>
            <w:pPr>
              <w:adjustRightInd w:val="0"/>
              <w:snapToGrid w:val="0"/>
              <w:spacing w:line="420" w:lineRule="exact"/>
              <w:rPr>
                <w:color w:val="000000"/>
                <w:kern w:val="0"/>
                <w:sz w:val="20"/>
                <w:szCs w:val="21"/>
              </w:rPr>
            </w:pPr>
          </w:p>
        </w:tc>
        <w:tc>
          <w:tcPr>
            <w:tcW w:w="2551" w:type="dxa"/>
            <w:vAlign w:val="center"/>
          </w:tcPr>
          <w:p>
            <w:pPr>
              <w:adjustRightInd w:val="0"/>
              <w:snapToGrid w:val="0"/>
              <w:spacing w:line="420" w:lineRule="exact"/>
              <w:rPr>
                <w:color w:val="000000"/>
                <w:kern w:val="0"/>
                <w:sz w:val="20"/>
                <w:szCs w:val="21"/>
              </w:rPr>
            </w:pPr>
            <w:r>
              <w:rPr>
                <w:rFonts w:hint="eastAsia"/>
                <w:color w:val="000000"/>
                <w:kern w:val="0"/>
                <w:sz w:val="20"/>
                <w:szCs w:val="21"/>
              </w:rPr>
              <w:t>货物签收</w:t>
            </w:r>
          </w:p>
        </w:tc>
        <w:tc>
          <w:tcPr>
            <w:tcW w:w="3119" w:type="dxa"/>
            <w:vAlign w:val="center"/>
          </w:tcPr>
          <w:p>
            <w:pPr>
              <w:adjustRightInd w:val="0"/>
              <w:snapToGrid w:val="0"/>
              <w:spacing w:line="420" w:lineRule="exact"/>
              <w:rPr>
                <w:color w:val="000000"/>
                <w:kern w:val="0"/>
                <w:sz w:val="20"/>
                <w:szCs w:val="21"/>
              </w:rPr>
            </w:pPr>
          </w:p>
        </w:tc>
      </w:tr>
    </w:tbl>
    <w:p>
      <w:pPr>
        <w:adjustRightInd w:val="0"/>
        <w:snapToGrid w:val="0"/>
        <w:spacing w:line="420" w:lineRule="exact"/>
        <w:jc w:val="left"/>
        <w:rPr>
          <w:color w:val="000000"/>
          <w:szCs w:val="21"/>
        </w:rPr>
      </w:pPr>
    </w:p>
    <w:p>
      <w:pPr>
        <w:adjustRightInd w:val="0"/>
        <w:snapToGrid w:val="0"/>
        <w:spacing w:line="420" w:lineRule="exact"/>
        <w:jc w:val="left"/>
        <w:rPr>
          <w:color w:val="000000"/>
          <w:szCs w:val="21"/>
        </w:rPr>
      </w:pPr>
    </w:p>
    <w:p>
      <w:pPr>
        <w:adjustRightInd w:val="0"/>
        <w:snapToGrid w:val="0"/>
        <w:spacing w:line="420" w:lineRule="exact"/>
        <w:jc w:val="left"/>
        <w:rPr>
          <w:color w:val="000000"/>
          <w:szCs w:val="21"/>
        </w:rPr>
      </w:pPr>
    </w:p>
    <w:p>
      <w:pPr>
        <w:tabs>
          <w:tab w:val="left" w:pos="5010"/>
        </w:tabs>
        <w:adjustRightInd w:val="0"/>
        <w:snapToGrid w:val="0"/>
        <w:spacing w:line="420" w:lineRule="exact"/>
        <w:jc w:val="left"/>
        <w:rPr>
          <w:b/>
          <w:bCs/>
          <w:color w:val="000000"/>
          <w:szCs w:val="21"/>
        </w:rPr>
      </w:pPr>
      <w:r>
        <w:rPr>
          <w:color w:val="000000"/>
          <w:szCs w:val="21"/>
        </w:rPr>
        <w:tab/>
      </w:r>
      <w:r>
        <w:rPr>
          <w:rFonts w:hint="eastAsia"/>
          <w:b/>
          <w:bCs/>
          <w:color w:val="000000"/>
          <w:szCs w:val="21"/>
        </w:rPr>
        <w:t>授权人：</w:t>
      </w:r>
    </w:p>
    <w:p>
      <w:pPr>
        <w:tabs>
          <w:tab w:val="left" w:pos="4979"/>
        </w:tabs>
        <w:adjustRightInd w:val="0"/>
        <w:snapToGrid w:val="0"/>
        <w:spacing w:line="420" w:lineRule="exact"/>
        <w:jc w:val="left"/>
        <w:rPr>
          <w:b/>
          <w:bCs/>
          <w:color w:val="000000"/>
          <w:szCs w:val="21"/>
        </w:rPr>
      </w:pPr>
      <w:r>
        <w:rPr>
          <w:b/>
          <w:bCs/>
          <w:color w:val="000000"/>
          <w:szCs w:val="21"/>
        </w:rPr>
        <w:tab/>
      </w:r>
      <w:r>
        <w:rPr>
          <w:rFonts w:hint="eastAsia"/>
          <w:b/>
          <w:bCs/>
          <w:color w:val="000000"/>
          <w:szCs w:val="21"/>
        </w:rPr>
        <w:t>（加盖公章）</w:t>
      </w:r>
    </w:p>
    <w:p>
      <w:pPr>
        <w:adjustRightInd w:val="0"/>
        <w:snapToGrid w:val="0"/>
        <w:spacing w:line="420" w:lineRule="exact"/>
        <w:jc w:val="left"/>
        <w:rPr>
          <w:b/>
          <w:bCs/>
          <w:color w:val="000000"/>
          <w:szCs w:val="21"/>
        </w:rPr>
      </w:pPr>
      <w:r>
        <w:rPr>
          <w:b/>
          <w:bCs/>
          <w:color w:val="000000"/>
          <w:szCs w:val="21"/>
        </w:rPr>
        <w:t xml:space="preserve">                                                </w:t>
      </w:r>
      <w:r>
        <w:rPr>
          <w:rFonts w:hint="eastAsia"/>
          <w:b/>
          <w:bCs/>
          <w:color w:val="000000"/>
          <w:szCs w:val="21"/>
          <w:lang w:val="en-US" w:eastAsia="zh-CN"/>
        </w:rPr>
        <w:t xml:space="preserve">    </w:t>
      </w:r>
      <w:r>
        <w:rPr>
          <w:rFonts w:hint="eastAsia"/>
          <w:b/>
          <w:bCs/>
          <w:color w:val="000000"/>
          <w:szCs w:val="21"/>
        </w:rPr>
        <w:t>年  月  日</w:t>
      </w: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rPr>
          <w:rFonts w:hint="eastAsia" w:asciiTheme="majorEastAsia" w:hAnsiTheme="majorEastAsia" w:eastAsiaTheme="majorEastAsia" w:cstheme="majorEastAsia"/>
          <w:b/>
          <w:bCs/>
          <w:szCs w:val="21"/>
        </w:rPr>
      </w:pPr>
    </w:p>
    <w:p>
      <w:pPr>
        <w:spacing w:line="340" w:lineRule="exact"/>
        <w:jc w:val="center"/>
        <w:rPr>
          <w:rFonts w:hint="eastAsia" w:ascii="宋体" w:hAnsi="宋体" w:cs="宋体"/>
          <w:b/>
          <w:bCs/>
          <w:color w:val="000000"/>
          <w:sz w:val="32"/>
          <w:szCs w:val="32"/>
        </w:rPr>
      </w:pPr>
    </w:p>
    <w:p>
      <w:pPr>
        <w:spacing w:line="340" w:lineRule="exact"/>
        <w:jc w:val="center"/>
        <w:rPr>
          <w:rFonts w:hint="eastAsia" w:ascii="宋体" w:hAnsi="宋体" w:cs="宋体"/>
          <w:b/>
          <w:bCs/>
          <w:color w:val="000000"/>
          <w:sz w:val="32"/>
          <w:szCs w:val="32"/>
        </w:rPr>
      </w:pPr>
    </w:p>
    <w:p>
      <w:pPr>
        <w:pStyle w:val="3"/>
        <w:jc w:val="center"/>
        <w:rPr>
          <w:rFonts w:hint="eastAsia" w:ascii="Times New Roman" w:hAnsi="Times New Roman"/>
          <w:color w:val="000000"/>
          <w:lang w:val="en-US" w:eastAsia="zh-CN"/>
        </w:rPr>
      </w:pPr>
      <w:r>
        <w:rPr>
          <w:rFonts w:hint="eastAsia" w:ascii="Times New Roman" w:hAnsi="Times New Roman"/>
          <w:color w:val="000000"/>
          <w:lang w:val="en-US" w:eastAsia="zh-CN"/>
        </w:rPr>
        <w:t>附件2</w:t>
      </w:r>
    </w:p>
    <w:p>
      <w:pPr>
        <w:pStyle w:val="3"/>
        <w:bidi w:val="0"/>
        <w:jc w:val="center"/>
        <w:rPr>
          <w:rFonts w:hint="default" w:ascii="宋体" w:hAnsi="宋体" w:eastAsia="宋体" w:cs="宋体"/>
          <w:b/>
          <w:bCs/>
          <w:color w:val="000000"/>
          <w:szCs w:val="32"/>
          <w:lang w:val="en-US" w:eastAsia="zh-CN"/>
        </w:rPr>
      </w:pPr>
      <w:r>
        <w:rPr>
          <w:rFonts w:hint="eastAsia"/>
          <w:lang w:val="en-US" w:eastAsia="zh-CN"/>
        </w:rPr>
        <w:t>补充协议</w:t>
      </w:r>
    </w:p>
    <w:p>
      <w:pPr>
        <w:rPr>
          <w:rFonts w:hint="eastAsia" w:asciiTheme="majorEastAsia" w:hAnsiTheme="majorEastAsia" w:eastAsiaTheme="majorEastAsia" w:cstheme="majorEastAsia"/>
          <w:b/>
          <w:bCs/>
          <w:szCs w:val="21"/>
        </w:rPr>
      </w:pPr>
    </w:p>
    <w:p>
      <w:pPr>
        <w:ind w:firstLine="420" w:firstLineChars="200"/>
        <w:rPr>
          <w:rFonts w:asciiTheme="majorEastAsia" w:hAnsiTheme="majorEastAsia" w:eastAsiaTheme="majorEastAsia" w:cstheme="majorEastAsia"/>
          <w:bCs/>
          <w:szCs w:val="21"/>
          <w:u w:val="single"/>
        </w:rPr>
      </w:pPr>
      <w:r>
        <w:rPr>
          <w:rFonts w:hint="eastAsia" w:asciiTheme="majorEastAsia" w:hAnsiTheme="majorEastAsia" w:eastAsiaTheme="majorEastAsia" w:cstheme="majorEastAsia"/>
          <w:bCs/>
          <w:szCs w:val="21"/>
        </w:rPr>
        <w:t>协议开始日期</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u w:val="single"/>
          <w:lang w:val="en-US" w:eastAsia="zh-CN"/>
        </w:rPr>
        <w:t>{AgreementStartDate}</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，协议结束日期</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u w:val="single"/>
          <w:lang w:val="en-US" w:eastAsia="zh-CN"/>
        </w:rPr>
        <w:t>{AgreementEndDate}</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。信用等级</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u w:val="single"/>
          <w:lang w:val="en-US" w:eastAsia="zh-CN"/>
        </w:rPr>
        <w:t>{CreditLevel}</w:t>
      </w:r>
      <w:r>
        <w:rPr>
          <w:rFonts w:hint="eastAsia" w:asciiTheme="majorEastAsia" w:hAnsiTheme="majorEastAsia" w:eastAsiaTheme="majorEastAsia" w:cstheme="majorEastAsia"/>
          <w:bCs/>
          <w:szCs w:val="21"/>
          <w:u w:val="single"/>
        </w:rPr>
        <w:t xml:space="preserve"> </w:t>
      </w:r>
      <w:r>
        <w:rPr>
          <w:rFonts w:hint="eastAsia" w:asciiTheme="majorEastAsia" w:hAnsiTheme="majorEastAsia" w:eastAsiaTheme="majorEastAsia" w:cstheme="majorEastAsia"/>
          <w:bCs/>
          <w:szCs w:val="21"/>
        </w:rPr>
        <w:t xml:space="preserve"> 。</w:t>
      </w:r>
    </w:p>
    <w:p>
      <w:pPr>
        <w:adjustRightInd w:val="0"/>
        <w:snapToGrid w:val="0"/>
        <w:spacing w:line="420" w:lineRule="exact"/>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一、结算公式</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人民币开票完税价</w:t>
      </w:r>
      <w:r>
        <w:rPr>
          <w:rFonts w:asciiTheme="minorEastAsia" w:hAnsiTheme="minorEastAsia" w:eastAsiaTheme="minorEastAsia"/>
          <w:szCs w:val="21"/>
        </w:rPr>
        <w:t>=</w:t>
      </w:r>
      <w:r>
        <w:rPr>
          <w:rFonts w:hint="eastAsia" w:asciiTheme="minorEastAsia" w:hAnsiTheme="minorEastAsia" w:eastAsiaTheme="minorEastAsia"/>
          <w:szCs w:val="21"/>
        </w:rPr>
        <w:t>货款+增值税+代理费+关税（如有）+其它杂费。</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货款=美金货值*实时汇率；增值税=美金货值*海关汇率*1.00</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.1</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（其中千分之</w:t>
      </w:r>
      <w:r>
        <w:rPr>
          <w:rFonts w:hint="eastAsia" w:asciiTheme="minorEastAsia" w:hAnsiTheme="minorEastAsia" w:eastAsiaTheme="minorEastAsia"/>
          <w:szCs w:val="21"/>
          <w:lang w:val="en-US" w:eastAsia="zh-CN"/>
        </w:rPr>
        <w:t>二</w:t>
      </w:r>
      <w:r>
        <w:rPr>
          <w:rFonts w:hint="eastAsia" w:asciiTheme="minorEastAsia" w:hAnsiTheme="minorEastAsia" w:eastAsiaTheme="minorEastAsia"/>
          <w:szCs w:val="21"/>
        </w:rPr>
        <w:t>为海关要求申报的运费、保费、杂费）；</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代理费=美金货值*</w:t>
      </w:r>
      <w:r>
        <w:rPr>
          <w:rFonts w:hint="eastAsia" w:asciiTheme="majorEastAsia" w:hAnsiTheme="majorEastAsia" w:eastAsiaTheme="majorEastAsia" w:cstheme="majorEastAsia"/>
          <w:bCs/>
          <w:color w:val="000000"/>
          <w:szCs w:val="21"/>
          <w:lang w:val="en-US" w:eastAsia="zh-CN"/>
        </w:rPr>
        <w:t>{AgentRateTypeCN}</w:t>
      </w:r>
      <w:r>
        <w:rPr>
          <w:rFonts w:hint="eastAsia" w:asciiTheme="minorEastAsia" w:hAnsiTheme="minorEastAsia" w:eastAsiaTheme="minorEastAsia"/>
          <w:szCs w:val="21"/>
        </w:rPr>
        <w:t>汇率*</w:t>
      </w:r>
      <w:r>
        <w:rPr>
          <w:rFonts w:hint="eastAsia" w:asciiTheme="minorEastAsia" w:hAnsiTheme="minorEastAsia" w:eastAsiaTheme="minorEastAsia"/>
          <w:szCs w:val="21"/>
          <w:lang w:val="en-US" w:eastAsia="zh-CN"/>
        </w:rPr>
        <w:t>代理</w:t>
      </w:r>
      <w:r>
        <w:rPr>
          <w:rFonts w:hint="eastAsia" w:asciiTheme="minorEastAsia" w:hAnsiTheme="minorEastAsia" w:eastAsiaTheme="minorEastAsia"/>
          <w:szCs w:val="21"/>
        </w:rPr>
        <w:t>费率*</w:t>
      </w:r>
      <w:r>
        <w:rPr>
          <w:rFonts w:hint="eastAsia" w:asciiTheme="majorEastAsia" w:hAnsiTheme="majorEastAsia" w:eastAsiaTheme="majorEastAsia" w:cstheme="majorEastAsia"/>
          <w:bCs/>
          <w:color w:val="000000"/>
          <w:szCs w:val="21"/>
          <w:lang w:val="en-US" w:eastAsia="zh-CN"/>
        </w:rPr>
        <w:t>{InvoicePoint}</w:t>
      </w:r>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Theme="minorEastAsia" w:hAnsiTheme="minorEastAsia" w:eastAsiaTheme="minorEastAsia"/>
          <w:szCs w:val="21"/>
        </w:rPr>
      </w:pPr>
      <w:r>
        <w:rPr>
          <w:rFonts w:hint="eastAsia" w:asciiTheme="minorEastAsia" w:hAnsiTheme="minorEastAsia" w:eastAsiaTheme="minorEastAsia"/>
          <w:szCs w:val="21"/>
        </w:rPr>
        <w:t>关税=美金货</w:t>
      </w:r>
      <w:r>
        <w:rPr>
          <w:rFonts w:hint="eastAsia" w:asciiTheme="minorEastAsia" w:hAnsiTheme="minorEastAsia" w:eastAsiaTheme="minorEastAsia"/>
          <w:szCs w:val="21"/>
          <w:lang w:eastAsia="zh-CN"/>
        </w:rPr>
        <w:t>值</w:t>
      </w:r>
      <w:r>
        <w:rPr>
          <w:rFonts w:hint="eastAsia" w:asciiTheme="minorEastAsia" w:hAnsiTheme="minorEastAsia" w:eastAsiaTheme="minorEastAsia"/>
          <w:szCs w:val="21"/>
        </w:rPr>
        <w:t>*海关汇率*1.00</w:t>
      </w:r>
      <w:r>
        <w:rPr>
          <w:rFonts w:hint="eastAsia" w:asciiTheme="minorEastAsia" w:hAnsiTheme="minorEastAsia" w:eastAsiaTheme="minorEastAsia"/>
          <w:szCs w:val="21"/>
          <w:lang w:val="en-US" w:eastAsia="zh-CN"/>
        </w:rPr>
        <w:t>2</w:t>
      </w:r>
      <w:r>
        <w:rPr>
          <w:rFonts w:hint="eastAsia" w:asciiTheme="minorEastAsia" w:hAnsiTheme="minorEastAsia" w:eastAsiaTheme="minorEastAsia"/>
          <w:szCs w:val="21"/>
        </w:rPr>
        <w:t>*关税率*</w:t>
      </w:r>
      <w:r>
        <w:rPr>
          <w:rFonts w:hint="eastAsia" w:asciiTheme="minorEastAsia" w:hAnsiTheme="minorEastAsia" w:eastAsiaTheme="minorEastAsia"/>
          <w:szCs w:val="21"/>
          <w:lang w:val="en-US" w:eastAsia="zh-CN"/>
        </w:rPr>
        <w:t>1.13</w:t>
      </w:r>
      <w:r>
        <w:rPr>
          <w:rFonts w:hint="eastAsia" w:asciiTheme="minorEastAsia" w:hAnsiTheme="minorEastAsia" w:eastAsiaTheme="minorEastAsia"/>
          <w:szCs w:val="21"/>
        </w:rPr>
        <w:t>; 杂费=实报实销*</w:t>
      </w:r>
      <w:r>
        <w:rPr>
          <w:rFonts w:hint="eastAsia" w:asciiTheme="majorEastAsia" w:hAnsiTheme="majorEastAsia" w:eastAsiaTheme="majorEastAsia" w:cstheme="majorEastAsia"/>
          <w:bCs/>
          <w:color w:val="000000"/>
          <w:szCs w:val="21"/>
          <w:lang w:val="en-US" w:eastAsia="zh-CN"/>
        </w:rPr>
        <w:t>{InvoicePoint}</w:t>
      </w:r>
      <w:r>
        <w:rPr>
          <w:rFonts w:hint="eastAsia" w:asciiTheme="minorEastAsia" w:hAnsiTheme="minorEastAsia" w:eastAsiaTheme="minorEastAsia"/>
          <w:szCs w:val="21"/>
        </w:rPr>
        <w:t>。</w:t>
      </w:r>
    </w:p>
    <w:p>
      <w:pPr>
        <w:adjustRightInd w:val="0"/>
        <w:snapToGrid w:val="0"/>
        <w:spacing w:line="420" w:lineRule="exact"/>
        <w:ind w:firstLine="420" w:firstLineChars="200"/>
        <w:jc w:val="left"/>
        <w:rPr>
          <w:rFonts w:hint="eastAsia" w:ascii="宋体" w:hAnsi="宋体"/>
          <w:color w:val="000000" w:themeColor="text1"/>
          <w:szCs w:val="21"/>
          <w14:textFill>
            <w14:solidFill>
              <w14:schemeClr w14:val="tx1"/>
            </w14:solidFill>
          </w14:textFill>
        </w:rPr>
      </w:pPr>
      <w:r>
        <w:rPr>
          <w:rFonts w:hint="eastAsia" w:asciiTheme="minorEastAsia" w:hAnsiTheme="minorEastAsia" w:eastAsiaTheme="minorEastAsia"/>
          <w:color w:val="000000" w:themeColor="text1"/>
          <w:kern w:val="0"/>
          <w:szCs w:val="21"/>
          <w14:textFill>
            <w14:solidFill>
              <w14:schemeClr w14:val="tx1"/>
            </w14:solidFill>
          </w14:textFill>
        </w:rPr>
        <w:t>实时汇率按照进口当天的中国银行上午10点后第一个相应外汇卖出价为准</w:t>
      </w:r>
      <w:r>
        <w:rPr>
          <w:rFonts w:hint="eastAsia" w:ascii="宋体" w:hAnsi="宋体"/>
          <w:color w:val="000000" w:themeColor="text1"/>
          <w:szCs w:val="21"/>
          <w14:textFill>
            <w14:solidFill>
              <w14:schemeClr w14:val="tx1"/>
            </w14:solidFill>
          </w14:textFill>
        </w:rPr>
        <w:t>。</w:t>
      </w:r>
    </w:p>
    <w:p>
      <w:pPr>
        <w:adjustRightInd w:val="0"/>
        <w:snapToGrid w:val="0"/>
        <w:spacing w:line="420" w:lineRule="exact"/>
        <w:ind w:firstLine="420" w:firstLineChars="200"/>
        <w:jc w:val="left"/>
        <w:rPr>
          <w:rFonts w:asciiTheme="minorEastAsia" w:hAnsiTheme="minorEastAsia" w:eastAsiaTheme="minorEastAsia"/>
          <w:szCs w:val="21"/>
        </w:rPr>
      </w:pPr>
      <w:r>
        <w:rPr>
          <w:rFonts w:hint="eastAsia" w:asciiTheme="minorEastAsia" w:hAnsiTheme="minorEastAsia" w:eastAsiaTheme="minorEastAsia"/>
          <w:color w:val="000000" w:themeColor="text1"/>
          <w:kern w:val="0"/>
          <w:szCs w:val="21"/>
          <w14:textFill>
            <w14:solidFill>
              <w14:schemeClr w14:val="tx1"/>
            </w14:solidFill>
          </w14:textFill>
        </w:rPr>
        <w:t>海关汇率按照进口当天海关汇率为准</w:t>
      </w:r>
      <w:r>
        <w:rPr>
          <w:rFonts w:hint="eastAsia" w:ascii="宋体" w:hAnsi="宋体"/>
          <w:color w:val="000000" w:themeColor="text1"/>
          <w:szCs w:val="21"/>
          <w14:textFill>
            <w14:solidFill>
              <w14:schemeClr w14:val="tx1"/>
            </w14:solidFill>
          </w14:textFill>
        </w:rPr>
        <w:t>。</w:t>
      </w:r>
    </w:p>
    <w:p>
      <w:pPr>
        <w:adjustRightInd w:val="0"/>
        <w:snapToGrid w:val="0"/>
        <w:spacing w:line="420" w:lineRule="exact"/>
        <w:jc w:val="left"/>
        <w:rPr>
          <w:rFonts w:asciiTheme="minorEastAsia" w:hAnsiTheme="minorEastAsia" w:eastAsiaTheme="minorEastAsia"/>
          <w:szCs w:val="21"/>
        </w:rPr>
      </w:pPr>
      <w:r>
        <w:rPr>
          <w:rFonts w:hint="eastAsia" w:asciiTheme="minorEastAsia" w:hAnsiTheme="minorEastAsia" w:eastAsiaTheme="minorEastAsia"/>
          <w:szCs w:val="21"/>
        </w:rPr>
        <w:t>二、具体报价及结算约定</w:t>
      </w:r>
    </w:p>
    <w:p>
      <w:pPr>
        <w:numPr>
          <w:ilvl w:val="0"/>
          <w:numId w:val="9"/>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货款：  </w:t>
      </w:r>
      <w:r>
        <w:rPr>
          <w:rFonts w:hint="eastAsia" w:asciiTheme="majorEastAsia" w:hAnsiTheme="majorEastAsia" w:eastAsiaTheme="majorEastAsia" w:cstheme="majorEastAsia"/>
          <w:bCs/>
          <w:color w:val="000000"/>
          <w:szCs w:val="21"/>
          <w:lang w:val="en-US" w:eastAsia="zh-CN"/>
        </w:rPr>
        <w:t>{GoodsPayExchange90}</w:t>
      </w:r>
      <w:r>
        <w:rPr>
          <w:rFonts w:hint="eastAsia" w:asciiTheme="majorEastAsia" w:hAnsiTheme="majorEastAsia" w:eastAsiaTheme="majorEastAsia" w:cstheme="majorEastAsia"/>
          <w:bCs/>
          <w:color w:val="000000"/>
          <w:szCs w:val="21"/>
        </w:rPr>
        <w:t>90天内换汇；</w:t>
      </w:r>
      <w:r>
        <w:rPr>
          <w:rFonts w:hint="eastAsia" w:asciiTheme="majorEastAsia" w:hAnsiTheme="majorEastAsia" w:eastAsiaTheme="majorEastAsia" w:cstheme="majorEastAsia"/>
          <w:bCs/>
          <w:color w:val="000000"/>
          <w:szCs w:val="21"/>
          <w:lang w:val="en-US" w:eastAsia="zh-CN"/>
        </w:rPr>
        <w:t xml:space="preserve"> {GoodsPayExchangePre}预换汇；</w:t>
      </w:r>
    </w:p>
    <w:p>
      <w:pPr>
        <w:numPr>
          <w:ilvl w:val="0"/>
          <w:numId w:val="0"/>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    </w:t>
      </w:r>
      <w:r>
        <w:rPr>
          <w:rFonts w:hint="eastAsia" w:asciiTheme="majorEastAsia" w:hAnsiTheme="majorEastAsia" w:eastAsiaTheme="majorEastAsia" w:cstheme="majorEastAsia"/>
          <w:bCs/>
          <w:color w:val="000000"/>
          <w:szCs w:val="21"/>
          <w:lang w:val="en-US" w:eastAsia="zh-CN"/>
        </w:rPr>
        <w:t xml:space="preserve">         {GoodsPaymentTypePre}预付款</w:t>
      </w:r>
      <w:r>
        <w:rPr>
          <w:rFonts w:hint="eastAsia" w:asciiTheme="majorEastAsia" w:hAnsiTheme="majorEastAsia" w:eastAsiaTheme="majorEastAsia" w:cstheme="majorEastAsia"/>
          <w:bCs/>
          <w:color w:val="000000"/>
          <w:szCs w:val="21"/>
        </w:rPr>
        <w:t xml:space="preserve">；  </w:t>
      </w:r>
      <w:r>
        <w:rPr>
          <w:rFonts w:hint="eastAsia" w:asciiTheme="majorEastAsia" w:hAnsiTheme="majorEastAsia" w:eastAsiaTheme="majorEastAsia" w:cstheme="majorEastAsia"/>
          <w:bCs/>
          <w:color w:val="000000"/>
          <w:szCs w:val="21"/>
          <w:lang w:val="en-US" w:eastAsia="zh-CN"/>
        </w:rPr>
        <w:t>{GoodsPaymentTypeMon}</w:t>
      </w:r>
      <w:r>
        <w:rPr>
          <w:rFonts w:hint="eastAsia" w:asciiTheme="majorEastAsia" w:hAnsiTheme="majorEastAsia" w:eastAsiaTheme="majorEastAsia" w:cstheme="majorEastAsia"/>
          <w:bCs/>
          <w:color w:val="000000"/>
          <w:szCs w:val="21"/>
        </w:rPr>
        <w:t>月结，次月</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{GoodsPaymentMonthDay}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{GoodsPaymentMonMax}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{GoodsPaymentTypeLimit}</w:t>
      </w:r>
      <w:r>
        <w:rPr>
          <w:rFonts w:hint="eastAsia" w:asciiTheme="majorEastAsia" w:hAnsiTheme="majorEastAsia" w:eastAsiaTheme="majorEastAsia" w:cstheme="majorEastAsia"/>
          <w:bCs/>
          <w:color w:val="000000"/>
          <w:szCs w:val="21"/>
        </w:rPr>
        <w:t>垫付，垫付</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{GoodspaymentLimitDay}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{GoodsPaymentMax}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r>
        <w:rPr>
          <w:rFonts w:hint="eastAsia" w:asciiTheme="majorEastAsia" w:hAnsiTheme="majorEastAsia" w:eastAsiaTheme="majorEastAsia" w:cstheme="majorEastAsia"/>
          <w:bCs/>
          <w:color w:val="000000"/>
          <w:szCs w:val="21"/>
          <w:lang w:eastAsia="zh-CN"/>
        </w:rPr>
        <w:t>；</w:t>
      </w:r>
    </w:p>
    <w:p>
      <w:pPr>
        <w:adjustRightInd w:val="0"/>
        <w:snapToGrid w:val="0"/>
        <w:ind w:firstLine="525" w:firstLineChars="2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{GoodsPaymentRateTypeReal}</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{GoodsPaymentRateTypeAgree}</w:t>
      </w:r>
      <w:r>
        <w:rPr>
          <w:rFonts w:hint="eastAsia" w:asciiTheme="majorEastAsia" w:hAnsiTheme="majorEastAsia" w:eastAsiaTheme="majorEastAsia" w:cstheme="majorEastAsia"/>
          <w:bCs/>
          <w:color w:val="000000"/>
          <w:szCs w:val="21"/>
        </w:rPr>
        <w:t>约定汇率：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{GoodsPaymentRate}</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w:t>
      </w:r>
    </w:p>
    <w:p>
      <w:pPr>
        <w:numPr>
          <w:ilvl w:val="0"/>
          <w:numId w:val="9"/>
        </w:numPr>
        <w:adjustRightInd w:val="0"/>
        <w:snapToGrid w:val="0"/>
        <w:spacing w:line="420" w:lineRule="exact"/>
        <w:ind w:left="0" w:leftChars="0" w:firstLine="0" w:firstLineChars="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税款：  </w:t>
      </w:r>
      <w:r>
        <w:rPr>
          <w:rFonts w:hint="eastAsia" w:asciiTheme="majorEastAsia" w:hAnsiTheme="majorEastAsia" w:eastAsiaTheme="majorEastAsia" w:cstheme="majorEastAsia"/>
          <w:bCs/>
          <w:color w:val="000000"/>
          <w:szCs w:val="21"/>
          <w:lang w:val="en-US" w:eastAsia="zh-CN"/>
        </w:rPr>
        <w:t>{TaxPaymentTypePre}</w:t>
      </w:r>
      <w:r>
        <w:rPr>
          <w:rFonts w:hint="eastAsia" w:asciiTheme="majorEastAsia" w:hAnsiTheme="majorEastAsia" w:eastAsiaTheme="majorEastAsia" w:cstheme="majorEastAsia"/>
          <w:bCs/>
          <w:color w:val="000000"/>
          <w:szCs w:val="21"/>
        </w:rPr>
        <w:t xml:space="preserve">预付款；  </w:t>
      </w:r>
      <w:r>
        <w:rPr>
          <w:rFonts w:hint="eastAsia" w:asciiTheme="majorEastAsia" w:hAnsiTheme="majorEastAsia" w:eastAsiaTheme="majorEastAsia" w:cstheme="majorEastAsia"/>
          <w:bCs/>
          <w:color w:val="000000"/>
          <w:szCs w:val="21"/>
          <w:lang w:val="en-US" w:eastAsia="zh-CN"/>
        </w:rPr>
        <w:t>{TaxPaymentTypeMon}</w:t>
      </w:r>
      <w:r>
        <w:rPr>
          <w:rFonts w:hint="eastAsia" w:asciiTheme="majorEastAsia" w:hAnsiTheme="majorEastAsia" w:eastAsiaTheme="majorEastAsia" w:cstheme="majorEastAsia"/>
          <w:bCs/>
          <w:color w:val="000000"/>
          <w:szCs w:val="21"/>
        </w:rPr>
        <w:t>月结：次月</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 xml:space="preserve">{TaxPaymentMonthDay}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lang w:val="en-US" w:eastAsia="zh-CN"/>
        </w:rPr>
        <w:t xml:space="preserve"> </w:t>
      </w:r>
      <w:r>
        <w:rPr>
          <w:rFonts w:hint="eastAsia" w:asciiTheme="majorEastAsia" w:hAnsiTheme="majorEastAsia" w:eastAsiaTheme="majorEastAsia" w:cstheme="majorEastAsia"/>
          <w:bCs/>
          <w:color w:val="000000"/>
          <w:szCs w:val="21"/>
          <w:u w:val="single"/>
          <w:lang w:val="en-US" w:eastAsia="zh-CN"/>
        </w:rPr>
        <w:t xml:space="preserve">{TaxPaymentMonMax}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{TaxPaymentTypeLimit}</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lang w:val="en-US" w:eastAsia="zh-CN"/>
        </w:rPr>
        <w:t xml:space="preserve"> {TaxpaymentLimitDay}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{TaxPaymentMax}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{TaxPaymentRateTypeCustoms}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{TaxPaymentRateTypeAgree}</w:t>
      </w:r>
      <w:r>
        <w:rPr>
          <w:rFonts w:hint="eastAsia" w:asciiTheme="majorEastAsia" w:hAnsiTheme="majorEastAsia" w:eastAsiaTheme="majorEastAsia" w:cstheme="majorEastAsia"/>
          <w:bCs/>
          <w:color w:val="000000"/>
          <w:szCs w:val="21"/>
        </w:rPr>
        <w:t>约定汇率：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{TaxPaymentRate}</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w:t>
      </w:r>
    </w:p>
    <w:p>
      <w:pPr>
        <w:numPr>
          <w:ilvl w:val="0"/>
          <w:numId w:val="9"/>
        </w:num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代理费： 费率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{ServiceChargePoint}</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，最低收费</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{MinimumAgent}</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元/单。</w:t>
      </w:r>
    </w:p>
    <w:p>
      <w:pPr>
        <w:adjustRightInd w:val="0"/>
        <w:snapToGrid w:val="0"/>
        <w:spacing w:line="420" w:lineRule="exact"/>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{AgentPaymentTypePre}</w:t>
      </w:r>
      <w:r>
        <w:rPr>
          <w:rFonts w:hint="eastAsia" w:asciiTheme="majorEastAsia" w:hAnsiTheme="majorEastAsia" w:eastAsiaTheme="majorEastAsia" w:cstheme="majorEastAsia"/>
          <w:bCs/>
          <w:color w:val="000000"/>
          <w:szCs w:val="21"/>
        </w:rPr>
        <w:t xml:space="preserve">预付款；  </w:t>
      </w:r>
      <w:r>
        <w:rPr>
          <w:rFonts w:hint="eastAsia" w:asciiTheme="majorEastAsia" w:hAnsiTheme="majorEastAsia" w:eastAsiaTheme="majorEastAsia" w:cstheme="majorEastAsia"/>
          <w:bCs/>
          <w:color w:val="000000"/>
          <w:szCs w:val="21"/>
          <w:lang w:val="en-US" w:eastAsia="zh-CN"/>
        </w:rPr>
        <w:t>{AgentPaymentTypeMon}</w:t>
      </w:r>
      <w:r>
        <w:rPr>
          <w:rFonts w:hint="eastAsia" w:asciiTheme="majorEastAsia" w:hAnsiTheme="majorEastAsia" w:eastAsiaTheme="majorEastAsia" w:cstheme="majorEastAsia"/>
          <w:bCs/>
          <w:color w:val="000000"/>
          <w:szCs w:val="21"/>
        </w:rPr>
        <w:t>月结：次月</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{AgentPaymentMonMax}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{AgentPaymentTypeLimit}</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{AgentpaymentLimitDay}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{AgentPaymentRateTypeReal}</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{AgentPaymentRateTypeCustoms}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{AgentPaymentRateTypeAgree}</w:t>
      </w:r>
      <w:r>
        <w:rPr>
          <w:rFonts w:hint="eastAsia" w:asciiTheme="majorEastAsia" w:hAnsiTheme="majorEastAsia" w:eastAsiaTheme="majorEastAsia" w:cstheme="majorEastAsia"/>
          <w:bCs/>
          <w:color w:val="000000"/>
          <w:szCs w:val="21"/>
        </w:rPr>
        <w:t>约定汇率：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{AgentPaymentRate}</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w:t>
      </w:r>
    </w:p>
    <w:p>
      <w:pPr>
        <w:adjustRightInd w:val="0"/>
        <w:snapToGrid w:val="0"/>
        <w:spacing w:line="420" w:lineRule="exact"/>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（4）杂费：  </w:t>
      </w:r>
      <w:r>
        <w:rPr>
          <w:rFonts w:hint="eastAsia" w:asciiTheme="majorEastAsia" w:hAnsiTheme="majorEastAsia" w:eastAsiaTheme="majorEastAsia" w:cstheme="majorEastAsia"/>
          <w:bCs/>
          <w:color w:val="000000"/>
          <w:szCs w:val="21"/>
          <w:lang w:val="en-US" w:eastAsia="zh-CN"/>
        </w:rPr>
        <w:t>{OtherPaymentTypePre}</w:t>
      </w:r>
      <w:r>
        <w:rPr>
          <w:rFonts w:hint="eastAsia" w:asciiTheme="majorEastAsia" w:hAnsiTheme="majorEastAsia" w:eastAsiaTheme="majorEastAsia" w:cstheme="majorEastAsia"/>
          <w:bCs/>
          <w:color w:val="000000"/>
          <w:szCs w:val="21"/>
        </w:rPr>
        <w:t xml:space="preserve">预付款；  </w:t>
      </w:r>
      <w:r>
        <w:rPr>
          <w:rFonts w:hint="eastAsia" w:asciiTheme="majorEastAsia" w:hAnsiTheme="majorEastAsia" w:eastAsiaTheme="majorEastAsia" w:cstheme="majorEastAsia"/>
          <w:bCs/>
          <w:color w:val="000000"/>
          <w:szCs w:val="21"/>
          <w:lang w:val="en-US" w:eastAsia="zh-CN"/>
        </w:rPr>
        <w:t>{OtherPaymentTypeMon}</w:t>
      </w:r>
      <w:r>
        <w:rPr>
          <w:rFonts w:hint="eastAsia" w:asciiTheme="majorEastAsia" w:hAnsiTheme="majorEastAsia" w:eastAsiaTheme="majorEastAsia" w:cstheme="majorEastAsia"/>
          <w:bCs/>
          <w:color w:val="000000"/>
          <w:szCs w:val="21"/>
        </w:rPr>
        <w:t>月结：次月</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{OtherPaymentMonthDay}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日，垫付上限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{OtherPaymentMonMax}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ind w:firstLine="1365" w:firstLineChars="650"/>
        <w:jc w:val="left"/>
        <w:rPr>
          <w:rFonts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lang w:val="en-US" w:eastAsia="zh-CN"/>
        </w:rPr>
        <w:t>{OtherPaymentTypeLimit}</w:t>
      </w:r>
      <w:r>
        <w:rPr>
          <w:rFonts w:hint="eastAsia" w:asciiTheme="majorEastAsia" w:hAnsiTheme="majorEastAsia" w:eastAsiaTheme="majorEastAsia" w:cstheme="majorEastAsia"/>
          <w:bCs/>
          <w:color w:val="000000"/>
          <w:szCs w:val="21"/>
        </w:rPr>
        <w:t>约定期限，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{OtherpaymentLimitDay}</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天，垫付上限</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{OtherPaymentMax}</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rPr>
        <w:t>元</w:t>
      </w:r>
    </w:p>
    <w:p>
      <w:pPr>
        <w:adjustRightInd w:val="0"/>
        <w:snapToGrid w:val="0"/>
        <w:spacing w:line="420" w:lineRule="exact"/>
        <w:ind w:firstLine="525" w:firstLineChars="250"/>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 xml:space="preserve">汇率：  </w:t>
      </w:r>
      <w:r>
        <w:rPr>
          <w:rFonts w:hint="eastAsia" w:asciiTheme="majorEastAsia" w:hAnsiTheme="majorEastAsia" w:eastAsiaTheme="majorEastAsia" w:cstheme="majorEastAsia"/>
          <w:bCs/>
          <w:color w:val="000000"/>
          <w:szCs w:val="21"/>
          <w:lang w:val="en-US" w:eastAsia="zh-CN"/>
        </w:rPr>
        <w:t>{OtherPaymentRateTypeReal}</w:t>
      </w:r>
      <w:r>
        <w:rPr>
          <w:rFonts w:hint="eastAsia" w:asciiTheme="majorEastAsia" w:hAnsiTheme="majorEastAsia" w:eastAsiaTheme="majorEastAsia" w:cstheme="majorEastAsia"/>
          <w:bCs/>
          <w:color w:val="000000"/>
          <w:szCs w:val="21"/>
        </w:rPr>
        <w:t>实时汇率；</w:t>
      </w:r>
      <w:r>
        <w:rPr>
          <w:rFonts w:hint="eastAsia" w:asciiTheme="majorEastAsia" w:hAnsiTheme="majorEastAsia" w:eastAsiaTheme="majorEastAsia" w:cstheme="majorEastAsia"/>
          <w:bCs/>
          <w:color w:val="000000"/>
          <w:szCs w:val="21"/>
          <w:lang w:val="en-US" w:eastAsia="zh-CN"/>
        </w:rPr>
        <w:t>{OtherPaymentRateTypeCustoms}</w:t>
      </w:r>
      <w:r>
        <w:rPr>
          <w:rFonts w:hint="eastAsia" w:asciiTheme="majorEastAsia" w:hAnsiTheme="majorEastAsia" w:eastAsiaTheme="majorEastAsia" w:cstheme="majorEastAsia"/>
          <w:bCs/>
          <w:color w:val="000000"/>
          <w:szCs w:val="21"/>
        </w:rPr>
        <w:t>海关汇率；</w:t>
      </w:r>
      <w:r>
        <w:rPr>
          <w:rFonts w:hint="eastAsia" w:asciiTheme="majorEastAsia" w:hAnsiTheme="majorEastAsia" w:eastAsiaTheme="majorEastAsia" w:cstheme="majorEastAsia"/>
          <w:bCs/>
          <w:color w:val="000000"/>
          <w:szCs w:val="21"/>
          <w:lang w:val="en-US" w:eastAsia="zh-CN"/>
        </w:rPr>
        <w:t>{OtherPaymentRateTypeAgree}</w:t>
      </w:r>
      <w:r>
        <w:rPr>
          <w:rFonts w:hint="eastAsia" w:asciiTheme="majorEastAsia" w:hAnsiTheme="majorEastAsia" w:eastAsiaTheme="majorEastAsia" w:cstheme="majorEastAsia"/>
          <w:bCs/>
          <w:color w:val="000000"/>
          <w:szCs w:val="21"/>
        </w:rPr>
        <w:t>约定汇率：</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u w:val="single"/>
          <w:lang w:val="en-US" w:eastAsia="zh-CN"/>
        </w:rPr>
        <w:t>{OtherPaymentRate}</w:t>
      </w:r>
      <w:r>
        <w:rPr>
          <w:rFonts w:hint="eastAsia" w:asciiTheme="majorEastAsia" w:hAnsiTheme="majorEastAsia" w:eastAsiaTheme="majorEastAsia" w:cstheme="majorEastAsia"/>
          <w:bCs/>
          <w:color w:val="000000"/>
          <w:szCs w:val="21"/>
          <w:u w:val="single"/>
        </w:rPr>
        <w:t xml:space="preserve"> </w:t>
      </w:r>
      <w:r>
        <w:rPr>
          <w:rFonts w:hint="eastAsia" w:asciiTheme="majorEastAsia" w:hAnsiTheme="majorEastAsia" w:eastAsiaTheme="majorEastAsia" w:cstheme="majorEastAsia"/>
          <w:bCs/>
          <w:color w:val="000000"/>
          <w:szCs w:val="21"/>
          <w:lang w:eastAsia="zh-CN"/>
        </w:rPr>
        <w:t>；</w:t>
      </w:r>
      <w:r>
        <w:rPr>
          <w:rFonts w:hint="eastAsia" w:asciiTheme="majorEastAsia" w:hAnsiTheme="majorEastAsia" w:eastAsiaTheme="majorEastAsia" w:cstheme="majorEastAsia"/>
          <w:bCs/>
          <w:color w:val="000000"/>
          <w:szCs w:val="21"/>
          <w:lang w:val="en-US" w:eastAsia="zh-CN"/>
        </w:rPr>
        <w:t>{OtherPaymentRateTypeNone}无。</w:t>
      </w:r>
    </w:p>
    <w:p>
      <w:pPr>
        <w:adjustRightInd w:val="0"/>
        <w:snapToGrid w:val="0"/>
        <w:spacing w:line="420" w:lineRule="exact"/>
        <w:jc w:val="left"/>
        <w:rPr>
          <w:rFonts w:hint="eastAsia" w:asciiTheme="majorEastAsia" w:hAnsiTheme="majorEastAsia" w:eastAsiaTheme="majorEastAsia" w:cstheme="majorEastAsia"/>
          <w:bCs/>
          <w:color w:val="000000"/>
          <w:szCs w:val="21"/>
        </w:rPr>
      </w:pPr>
      <w:r>
        <w:rPr>
          <w:rFonts w:hint="eastAsia" w:asciiTheme="majorEastAsia" w:hAnsiTheme="majorEastAsia" w:eastAsiaTheme="majorEastAsia" w:cstheme="majorEastAsia"/>
          <w:bCs/>
          <w:color w:val="000000"/>
          <w:szCs w:val="21"/>
        </w:rPr>
        <w:t>三、开具发票</w:t>
      </w:r>
    </w:p>
    <w:p>
      <w:pPr>
        <w:adjustRightInd w:val="0"/>
        <w:snapToGrid w:val="0"/>
        <w:spacing w:line="420" w:lineRule="exact"/>
        <w:ind w:firstLine="105" w:firstLineChars="50"/>
        <w:jc w:val="left"/>
        <w:rPr>
          <w:rFonts w:asciiTheme="majorEastAsia" w:hAnsiTheme="majorEastAsia" w:eastAsiaTheme="majorEastAsia" w:cstheme="majorEastAsia"/>
          <w:bCs/>
          <w:color w:val="000000"/>
          <w:szCs w:val="21"/>
        </w:rPr>
      </w:pPr>
      <w:r>
        <w:rPr>
          <w:rFonts w:hint="eastAsia"/>
          <w:szCs w:val="21"/>
        </w:rPr>
        <w:t>（1）开票类型：</w:t>
      </w:r>
      <w:r>
        <w:rPr>
          <w:rFonts w:hint="eastAsia"/>
          <w:szCs w:val="21"/>
          <w:lang w:val="en-US" w:eastAsia="zh-CN"/>
        </w:rPr>
        <w:t>{InvoiceType}</w:t>
      </w:r>
      <w:r>
        <w:rPr>
          <w:rFonts w:hint="eastAsia" w:ascii="宋体" w:hAnsi="宋体"/>
          <w:kern w:val="0"/>
          <w:szCs w:val="21"/>
        </w:rPr>
        <w:t>签署内贸合同，</w:t>
      </w:r>
      <w:r>
        <w:rPr>
          <w:rFonts w:hint="eastAsia"/>
          <w:szCs w:val="21"/>
        </w:rPr>
        <w:t>开票增值税专用发票；</w:t>
      </w:r>
      <w:r>
        <w:rPr>
          <w:rFonts w:hint="eastAsia" w:asciiTheme="majorEastAsia" w:hAnsiTheme="majorEastAsia" w:eastAsiaTheme="majorEastAsia" w:cstheme="majorEastAsia"/>
          <w:bCs/>
          <w:color w:val="000000"/>
          <w:szCs w:val="21"/>
          <w:lang w:val="en-US" w:eastAsia="zh-CN"/>
        </w:rPr>
        <w:t>{InvoiceTypeService}</w:t>
      </w:r>
      <w:r>
        <w:rPr>
          <w:rFonts w:hint="eastAsia"/>
          <w:szCs w:val="21"/>
        </w:rPr>
        <w:t>海关发票+服务票发票。</w:t>
      </w: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pStyle w:val="3"/>
        <w:jc w:val="center"/>
        <w:rPr>
          <w:rFonts w:hint="eastAsia" w:ascii="Times New Roman" w:hAnsi="Times New Roman"/>
          <w:color w:val="000000"/>
          <w:lang w:val="en-US" w:eastAsia="zh-CN"/>
        </w:rPr>
      </w:pPr>
      <w:r>
        <w:rPr>
          <w:rFonts w:hint="eastAsia" w:ascii="Times New Roman" w:hAnsi="Times New Roman"/>
          <w:color w:val="000000"/>
          <w:lang w:val="en-US" w:eastAsia="zh-CN"/>
        </w:rPr>
        <w:t>附件3</w:t>
      </w:r>
    </w:p>
    <w:p>
      <w:pPr>
        <w:pStyle w:val="3"/>
        <w:bidi w:val="0"/>
        <w:jc w:val="center"/>
        <w:rPr>
          <w:rFonts w:hint="eastAsia"/>
          <w:lang w:val="en-US" w:eastAsia="zh-CN"/>
        </w:rPr>
      </w:pPr>
      <w:r>
        <w:rPr>
          <w:rFonts w:hint="eastAsia"/>
          <w:lang w:val="en-US" w:eastAsia="zh-CN"/>
        </w:rPr>
        <w:t>超重货物额外收费明细表</w:t>
      </w:r>
    </w:p>
    <w:p>
      <w:pPr>
        <w:spacing w:line="340" w:lineRule="exact"/>
        <w:jc w:val="right"/>
        <w:rPr>
          <w:rFonts w:ascii="宋体" w:cs="Times New Roman"/>
          <w:b/>
          <w:bCs/>
          <w:color w:val="000000"/>
        </w:rPr>
      </w:pPr>
      <w:r>
        <w:rPr>
          <w:rFonts w:hint="eastAsia" w:ascii="宋体" w:hAnsi="宋体" w:cs="宋体"/>
          <w:b/>
          <w:bCs/>
          <w:color w:val="000000"/>
        </w:rPr>
        <w:t>币种：</w:t>
      </w:r>
      <w:r>
        <w:rPr>
          <w:rFonts w:ascii="宋体" w:hAnsi="宋体" w:cs="宋体"/>
          <w:b/>
          <w:bCs/>
          <w:color w:val="000000"/>
        </w:rPr>
        <w:t>RMB</w:t>
      </w:r>
    </w:p>
    <w:tbl>
      <w:tblPr>
        <w:tblStyle w:val="11"/>
        <w:tblW w:w="852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804"/>
        <w:gridCol w:w="805"/>
        <w:gridCol w:w="805"/>
        <w:gridCol w:w="638"/>
        <w:gridCol w:w="639"/>
        <w:gridCol w:w="639"/>
        <w:gridCol w:w="639"/>
        <w:gridCol w:w="639"/>
        <w:gridCol w:w="654"/>
        <w:gridCol w:w="655"/>
        <w:gridCol w:w="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b/>
                <w:bCs/>
                <w:color w:val="000000"/>
              </w:rPr>
            </w:pPr>
            <w:r>
              <w:rPr>
                <w:rFonts w:hint="eastAsia" w:ascii="宋体" w:hAnsi="宋体" w:cs="宋体"/>
                <w:b/>
                <w:bCs/>
                <w:color w:val="000000"/>
              </w:rPr>
              <w:t>重量（</w:t>
            </w:r>
            <w:r>
              <w:rPr>
                <w:rFonts w:ascii="宋体" w:hAnsi="宋体" w:cs="宋体"/>
                <w:b/>
                <w:bCs/>
                <w:color w:val="000000"/>
              </w:rPr>
              <w:t>KGS</w:t>
            </w:r>
            <w:r>
              <w:rPr>
                <w:rFonts w:hint="eastAsia" w:ascii="宋体" w:hAnsi="宋体" w:cs="宋体"/>
                <w:b/>
                <w:bCs/>
                <w:color w:val="000000"/>
              </w:rPr>
              <w:t>）</w:t>
            </w:r>
            <w:r>
              <w:rPr>
                <w:rFonts w:ascii="宋体" w:hAnsi="宋体" w:cs="宋体"/>
                <w:b/>
                <w:bCs/>
                <w:color w:val="000000"/>
              </w:rPr>
              <w:t>/</w:t>
            </w:r>
            <w:r>
              <w:rPr>
                <w:rFonts w:hint="eastAsia" w:ascii="宋体" w:hAnsi="宋体" w:cs="宋体"/>
                <w:b/>
                <w:bCs/>
                <w:color w:val="000000"/>
              </w:rPr>
              <w:t>货值（</w:t>
            </w:r>
            <w:r>
              <w:rPr>
                <w:rFonts w:ascii="宋体" w:hAnsi="宋体" w:cs="宋体"/>
                <w:b/>
                <w:bCs/>
                <w:color w:val="000000"/>
              </w:rPr>
              <w:t>USD</w:t>
            </w:r>
            <w:r>
              <w:rPr>
                <w:rFonts w:hint="eastAsia" w:ascii="宋体" w:hAnsi="宋体" w:cs="宋体"/>
                <w:b/>
                <w:bCs/>
                <w:color w:val="000000"/>
              </w:rPr>
              <w:t>）</w:t>
            </w:r>
          </w:p>
        </w:tc>
        <w:tc>
          <w:tcPr>
            <w:tcW w:w="804" w:type="dxa"/>
            <w:vAlign w:val="center"/>
          </w:tcPr>
          <w:p>
            <w:pPr>
              <w:widowControl/>
              <w:jc w:val="center"/>
              <w:rPr>
                <w:rFonts w:ascii="宋体" w:cs="Times New Roman"/>
                <w:b/>
                <w:bCs/>
                <w:color w:val="000000"/>
              </w:rPr>
            </w:pPr>
            <w:r>
              <w:rPr>
                <w:rFonts w:ascii="宋体" w:hAnsi="宋体" w:cs="宋体"/>
                <w:b/>
                <w:bCs/>
                <w:color w:val="000000"/>
              </w:rPr>
              <w:t>100</w:t>
            </w:r>
          </w:p>
        </w:tc>
        <w:tc>
          <w:tcPr>
            <w:tcW w:w="805" w:type="dxa"/>
            <w:vAlign w:val="center"/>
          </w:tcPr>
          <w:p>
            <w:pPr>
              <w:widowControl/>
              <w:jc w:val="center"/>
              <w:rPr>
                <w:rFonts w:ascii="宋体" w:cs="Times New Roman"/>
                <w:b/>
                <w:bCs/>
                <w:color w:val="000000"/>
              </w:rPr>
            </w:pPr>
            <w:r>
              <w:rPr>
                <w:rFonts w:ascii="宋体" w:hAnsi="宋体" w:cs="宋体"/>
                <w:b/>
                <w:bCs/>
                <w:color w:val="000000"/>
              </w:rPr>
              <w:t>200</w:t>
            </w:r>
          </w:p>
        </w:tc>
        <w:tc>
          <w:tcPr>
            <w:tcW w:w="805" w:type="dxa"/>
            <w:vAlign w:val="center"/>
          </w:tcPr>
          <w:p>
            <w:pPr>
              <w:widowControl/>
              <w:jc w:val="center"/>
              <w:rPr>
                <w:rFonts w:ascii="宋体" w:cs="Times New Roman"/>
                <w:b/>
                <w:bCs/>
                <w:color w:val="000000"/>
              </w:rPr>
            </w:pPr>
            <w:r>
              <w:rPr>
                <w:rFonts w:ascii="宋体" w:hAnsi="宋体" w:cs="宋体"/>
                <w:b/>
                <w:bCs/>
                <w:color w:val="000000"/>
              </w:rPr>
              <w:t>300</w:t>
            </w:r>
          </w:p>
        </w:tc>
        <w:tc>
          <w:tcPr>
            <w:tcW w:w="638" w:type="dxa"/>
            <w:vAlign w:val="center"/>
          </w:tcPr>
          <w:p>
            <w:pPr>
              <w:widowControl/>
              <w:jc w:val="center"/>
              <w:rPr>
                <w:rFonts w:ascii="宋体" w:cs="Times New Roman"/>
                <w:b/>
                <w:bCs/>
                <w:color w:val="000000"/>
              </w:rPr>
            </w:pPr>
            <w:r>
              <w:rPr>
                <w:rFonts w:ascii="宋体" w:hAnsi="宋体" w:cs="宋体"/>
                <w:b/>
                <w:bCs/>
                <w:color w:val="000000"/>
              </w:rPr>
              <w:t>400</w:t>
            </w:r>
          </w:p>
        </w:tc>
        <w:tc>
          <w:tcPr>
            <w:tcW w:w="639" w:type="dxa"/>
            <w:vAlign w:val="center"/>
          </w:tcPr>
          <w:p>
            <w:pPr>
              <w:widowControl/>
              <w:jc w:val="center"/>
              <w:rPr>
                <w:rFonts w:ascii="宋体" w:cs="Times New Roman"/>
                <w:b/>
                <w:bCs/>
                <w:color w:val="000000"/>
              </w:rPr>
            </w:pPr>
            <w:r>
              <w:rPr>
                <w:rFonts w:ascii="宋体" w:hAnsi="宋体" w:cs="宋体"/>
                <w:b/>
                <w:bCs/>
                <w:color w:val="000000"/>
              </w:rPr>
              <w:t>500</w:t>
            </w:r>
          </w:p>
        </w:tc>
        <w:tc>
          <w:tcPr>
            <w:tcW w:w="639" w:type="dxa"/>
            <w:vAlign w:val="center"/>
          </w:tcPr>
          <w:p>
            <w:pPr>
              <w:widowControl/>
              <w:jc w:val="center"/>
              <w:rPr>
                <w:rFonts w:ascii="宋体" w:cs="Times New Roman"/>
                <w:b/>
                <w:bCs/>
                <w:color w:val="000000"/>
              </w:rPr>
            </w:pPr>
            <w:r>
              <w:rPr>
                <w:rFonts w:ascii="宋体" w:hAnsi="宋体" w:cs="宋体"/>
                <w:b/>
                <w:bCs/>
                <w:color w:val="000000"/>
              </w:rPr>
              <w:t>600</w:t>
            </w:r>
          </w:p>
        </w:tc>
        <w:tc>
          <w:tcPr>
            <w:tcW w:w="639" w:type="dxa"/>
            <w:vAlign w:val="center"/>
          </w:tcPr>
          <w:p>
            <w:pPr>
              <w:widowControl/>
              <w:jc w:val="center"/>
              <w:rPr>
                <w:rFonts w:ascii="宋体" w:cs="Times New Roman"/>
                <w:b/>
                <w:bCs/>
                <w:color w:val="000000"/>
              </w:rPr>
            </w:pPr>
            <w:r>
              <w:rPr>
                <w:rFonts w:ascii="宋体" w:hAnsi="宋体" w:cs="宋体"/>
                <w:b/>
                <w:bCs/>
                <w:color w:val="000000"/>
              </w:rPr>
              <w:t>700</w:t>
            </w:r>
          </w:p>
        </w:tc>
        <w:tc>
          <w:tcPr>
            <w:tcW w:w="639" w:type="dxa"/>
            <w:vAlign w:val="center"/>
          </w:tcPr>
          <w:p>
            <w:pPr>
              <w:widowControl/>
              <w:jc w:val="center"/>
              <w:rPr>
                <w:rFonts w:ascii="宋体" w:cs="Times New Roman"/>
                <w:b/>
                <w:bCs/>
                <w:color w:val="000000"/>
              </w:rPr>
            </w:pPr>
            <w:r>
              <w:rPr>
                <w:rFonts w:ascii="宋体" w:hAnsi="宋体" w:cs="宋体"/>
                <w:b/>
                <w:bCs/>
                <w:color w:val="000000"/>
              </w:rPr>
              <w:t>800</w:t>
            </w:r>
          </w:p>
        </w:tc>
        <w:tc>
          <w:tcPr>
            <w:tcW w:w="654" w:type="dxa"/>
            <w:vAlign w:val="center"/>
          </w:tcPr>
          <w:p>
            <w:pPr>
              <w:widowControl/>
              <w:jc w:val="center"/>
              <w:rPr>
                <w:rFonts w:ascii="宋体" w:cs="Times New Roman"/>
                <w:b/>
                <w:bCs/>
                <w:color w:val="000000"/>
              </w:rPr>
            </w:pPr>
            <w:r>
              <w:rPr>
                <w:rFonts w:ascii="宋体" w:hAnsi="宋体" w:cs="宋体"/>
                <w:b/>
                <w:bCs/>
                <w:color w:val="000000"/>
              </w:rPr>
              <w:t>900</w:t>
            </w:r>
          </w:p>
        </w:tc>
        <w:tc>
          <w:tcPr>
            <w:tcW w:w="655" w:type="dxa"/>
            <w:vAlign w:val="center"/>
          </w:tcPr>
          <w:p>
            <w:pPr>
              <w:widowControl/>
              <w:jc w:val="center"/>
              <w:rPr>
                <w:rFonts w:ascii="宋体" w:cs="Times New Roman"/>
                <w:b/>
                <w:bCs/>
                <w:color w:val="000000"/>
              </w:rPr>
            </w:pPr>
            <w:r>
              <w:rPr>
                <w:rFonts w:ascii="宋体" w:hAnsi="宋体" w:cs="宋体"/>
                <w:b/>
                <w:bCs/>
                <w:color w:val="000000"/>
              </w:rPr>
              <w:t>1000</w:t>
            </w:r>
          </w:p>
        </w:tc>
        <w:tc>
          <w:tcPr>
            <w:tcW w:w="655" w:type="dxa"/>
            <w:vAlign w:val="center"/>
          </w:tcPr>
          <w:p>
            <w:pPr>
              <w:widowControl/>
              <w:jc w:val="center"/>
              <w:rPr>
                <w:rFonts w:ascii="宋体" w:cs="Times New Roman"/>
                <w:b/>
                <w:bCs/>
                <w:color w:val="000000"/>
              </w:rPr>
            </w:pPr>
            <w:r>
              <w:rPr>
                <w:rFonts w:ascii="宋体" w:hAnsi="宋体" w:cs="宋体"/>
                <w:b/>
                <w:bCs/>
                <w:color w:val="000000"/>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2W</w:t>
            </w:r>
            <w:r>
              <w:rPr>
                <w:rFonts w:hint="eastAsia" w:ascii="宋体" w:hAnsi="宋体" w:cs="宋体"/>
                <w:color w:val="000000"/>
              </w:rPr>
              <w:t>以下</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Times New Roman"/>
                <w:color w:val="000000"/>
              </w:rPr>
            </w:pPr>
            <w:r>
              <w:rPr>
                <w:rFonts w:ascii="宋体" w:hAnsi="宋体" w:cs="宋体"/>
                <w:color w:val="000000"/>
              </w:rPr>
              <w:t>100</w:t>
            </w:r>
          </w:p>
        </w:tc>
        <w:tc>
          <w:tcPr>
            <w:tcW w:w="805" w:type="dxa"/>
            <w:vAlign w:val="center"/>
          </w:tcPr>
          <w:p>
            <w:pPr>
              <w:widowControl/>
              <w:jc w:val="center"/>
              <w:rPr>
                <w:rFonts w:ascii="宋体" w:cs="Times New Roman"/>
                <w:color w:val="000000"/>
              </w:rPr>
            </w:pPr>
            <w:r>
              <w:rPr>
                <w:rFonts w:ascii="宋体" w:hAnsi="宋体" w:cs="宋体"/>
                <w:color w:val="000000"/>
              </w:rPr>
              <w:t>200</w:t>
            </w:r>
          </w:p>
        </w:tc>
        <w:tc>
          <w:tcPr>
            <w:tcW w:w="638" w:type="dxa"/>
            <w:vAlign w:val="center"/>
          </w:tcPr>
          <w:p>
            <w:pPr>
              <w:widowControl/>
              <w:jc w:val="center"/>
              <w:rPr>
                <w:rFonts w:ascii="宋体" w:cs="Times New Roman"/>
                <w:color w:val="000000"/>
              </w:rPr>
            </w:pPr>
            <w:r>
              <w:rPr>
                <w:rFonts w:ascii="宋体" w:hAnsi="宋体" w:cs="宋体"/>
                <w:color w:val="000000"/>
              </w:rPr>
              <w:t>300</w:t>
            </w:r>
          </w:p>
        </w:tc>
        <w:tc>
          <w:tcPr>
            <w:tcW w:w="639" w:type="dxa"/>
            <w:vAlign w:val="center"/>
          </w:tcPr>
          <w:p>
            <w:pPr>
              <w:widowControl/>
              <w:jc w:val="center"/>
              <w:rPr>
                <w:rFonts w:ascii="宋体" w:cs="Times New Roman"/>
                <w:color w:val="000000"/>
              </w:rPr>
            </w:pPr>
            <w:r>
              <w:rPr>
                <w:rFonts w:ascii="宋体" w:hAnsi="宋体" w:cs="宋体"/>
                <w:color w:val="000000"/>
              </w:rPr>
              <w:t>400</w:t>
            </w:r>
          </w:p>
        </w:tc>
        <w:tc>
          <w:tcPr>
            <w:tcW w:w="639" w:type="dxa"/>
            <w:vAlign w:val="center"/>
          </w:tcPr>
          <w:p>
            <w:pPr>
              <w:widowControl/>
              <w:jc w:val="center"/>
              <w:rPr>
                <w:rFonts w:ascii="宋体" w:cs="Times New Roman"/>
                <w:color w:val="000000"/>
              </w:rPr>
            </w:pPr>
            <w:r>
              <w:rPr>
                <w:rFonts w:ascii="宋体" w:hAnsi="宋体" w:cs="宋体"/>
                <w:color w:val="000000"/>
              </w:rPr>
              <w:t>500</w:t>
            </w:r>
          </w:p>
        </w:tc>
        <w:tc>
          <w:tcPr>
            <w:tcW w:w="639" w:type="dxa"/>
            <w:vAlign w:val="center"/>
          </w:tcPr>
          <w:p>
            <w:pPr>
              <w:widowControl/>
              <w:jc w:val="center"/>
              <w:rPr>
                <w:rFonts w:ascii="宋体" w:cs="Times New Roman"/>
                <w:color w:val="000000"/>
              </w:rPr>
            </w:pPr>
            <w:r>
              <w:rPr>
                <w:rFonts w:ascii="宋体" w:hAnsi="宋体" w:cs="宋体"/>
                <w:color w:val="000000"/>
              </w:rPr>
              <w:t>700</w:t>
            </w:r>
          </w:p>
        </w:tc>
        <w:tc>
          <w:tcPr>
            <w:tcW w:w="639" w:type="dxa"/>
            <w:vAlign w:val="center"/>
          </w:tcPr>
          <w:p>
            <w:pPr>
              <w:widowControl/>
              <w:jc w:val="center"/>
              <w:rPr>
                <w:rFonts w:ascii="宋体" w:cs="Times New Roman"/>
                <w:color w:val="000000"/>
              </w:rPr>
            </w:pPr>
            <w:r>
              <w:rPr>
                <w:rFonts w:ascii="宋体" w:hAnsi="宋体" w:cs="宋体"/>
                <w:color w:val="000000"/>
              </w:rPr>
              <w:t>800</w:t>
            </w:r>
          </w:p>
        </w:tc>
        <w:tc>
          <w:tcPr>
            <w:tcW w:w="654" w:type="dxa"/>
            <w:vAlign w:val="center"/>
          </w:tcPr>
          <w:p>
            <w:pPr>
              <w:widowControl/>
              <w:jc w:val="center"/>
              <w:rPr>
                <w:rFonts w:ascii="宋体" w:cs="Times New Roman"/>
                <w:color w:val="000000"/>
              </w:rPr>
            </w:pPr>
            <w:r>
              <w:rPr>
                <w:rFonts w:ascii="宋体" w:hAnsi="宋体" w:cs="宋体"/>
                <w:color w:val="000000"/>
              </w:rPr>
              <w:t>900</w:t>
            </w:r>
          </w:p>
        </w:tc>
        <w:tc>
          <w:tcPr>
            <w:tcW w:w="655" w:type="dxa"/>
            <w:vAlign w:val="center"/>
          </w:tcPr>
          <w:p>
            <w:pPr>
              <w:widowControl/>
              <w:jc w:val="center"/>
              <w:rPr>
                <w:rFonts w:ascii="宋体" w:cs="Times New Roman"/>
                <w:color w:val="000000"/>
              </w:rPr>
            </w:pPr>
            <w:r>
              <w:rPr>
                <w:rFonts w:ascii="宋体" w:hAnsi="宋体" w:cs="宋体"/>
                <w:color w:val="000000"/>
              </w:rPr>
              <w:t>1200</w:t>
            </w:r>
          </w:p>
        </w:tc>
        <w:tc>
          <w:tcPr>
            <w:tcW w:w="655" w:type="dxa"/>
            <w:vAlign w:val="center"/>
          </w:tcPr>
          <w:p>
            <w:pPr>
              <w:widowControl/>
              <w:jc w:val="center"/>
              <w:rPr>
                <w:rFonts w:ascii="宋体" w:cs="Times New Roman"/>
                <w:color w:val="000000"/>
              </w:rPr>
            </w:pPr>
            <w:r>
              <w:rPr>
                <w:rFonts w:ascii="宋体" w:hAnsi="宋体" w:cs="宋体"/>
                <w:color w:val="000000"/>
              </w:rPr>
              <w:t>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4W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Times New Roman"/>
                <w:color w:val="000000"/>
              </w:rPr>
            </w:pPr>
            <w:r>
              <w:rPr>
                <w:rFonts w:ascii="宋体" w:hAnsi="宋体" w:cs="宋体"/>
                <w:color w:val="000000"/>
              </w:rPr>
              <w:t>100</w:t>
            </w:r>
          </w:p>
        </w:tc>
        <w:tc>
          <w:tcPr>
            <w:tcW w:w="638"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300</w:t>
            </w:r>
          </w:p>
        </w:tc>
        <w:tc>
          <w:tcPr>
            <w:tcW w:w="639" w:type="dxa"/>
            <w:vAlign w:val="center"/>
          </w:tcPr>
          <w:p>
            <w:pPr>
              <w:widowControl/>
              <w:jc w:val="center"/>
              <w:rPr>
                <w:rFonts w:ascii="宋体" w:cs="Times New Roman"/>
                <w:color w:val="000000"/>
              </w:rPr>
            </w:pPr>
            <w:r>
              <w:rPr>
                <w:rFonts w:ascii="宋体" w:hAnsi="宋体" w:cs="宋体"/>
                <w:color w:val="000000"/>
              </w:rPr>
              <w:t>400</w:t>
            </w:r>
          </w:p>
        </w:tc>
        <w:tc>
          <w:tcPr>
            <w:tcW w:w="639" w:type="dxa"/>
            <w:vAlign w:val="center"/>
          </w:tcPr>
          <w:p>
            <w:pPr>
              <w:widowControl/>
              <w:jc w:val="center"/>
              <w:rPr>
                <w:rFonts w:ascii="宋体" w:cs="Times New Roman"/>
                <w:color w:val="000000"/>
              </w:rPr>
            </w:pPr>
            <w:r>
              <w:rPr>
                <w:rFonts w:ascii="宋体" w:hAnsi="宋体" w:cs="宋体"/>
                <w:color w:val="000000"/>
              </w:rPr>
              <w:t>600</w:t>
            </w:r>
          </w:p>
        </w:tc>
        <w:tc>
          <w:tcPr>
            <w:tcW w:w="639" w:type="dxa"/>
            <w:vAlign w:val="center"/>
          </w:tcPr>
          <w:p>
            <w:pPr>
              <w:widowControl/>
              <w:jc w:val="center"/>
              <w:rPr>
                <w:rFonts w:ascii="宋体" w:cs="Times New Roman"/>
                <w:color w:val="000000"/>
              </w:rPr>
            </w:pPr>
            <w:r>
              <w:rPr>
                <w:rFonts w:ascii="宋体" w:hAnsi="宋体" w:cs="宋体"/>
                <w:color w:val="000000"/>
              </w:rPr>
              <w:t>700</w:t>
            </w:r>
          </w:p>
        </w:tc>
        <w:tc>
          <w:tcPr>
            <w:tcW w:w="654" w:type="dxa"/>
            <w:vAlign w:val="center"/>
          </w:tcPr>
          <w:p>
            <w:pPr>
              <w:widowControl/>
              <w:jc w:val="center"/>
              <w:rPr>
                <w:rFonts w:ascii="宋体" w:cs="Times New Roman"/>
                <w:color w:val="000000"/>
              </w:rPr>
            </w:pPr>
            <w:r>
              <w:rPr>
                <w:rFonts w:ascii="宋体" w:hAnsi="宋体" w:cs="宋体"/>
                <w:color w:val="000000"/>
              </w:rPr>
              <w:t>800</w:t>
            </w:r>
          </w:p>
        </w:tc>
        <w:tc>
          <w:tcPr>
            <w:tcW w:w="655" w:type="dxa"/>
            <w:vAlign w:val="center"/>
          </w:tcPr>
          <w:p>
            <w:pPr>
              <w:widowControl/>
              <w:jc w:val="center"/>
              <w:rPr>
                <w:rFonts w:ascii="宋体" w:cs="Times New Roman"/>
                <w:color w:val="000000"/>
              </w:rPr>
            </w:pPr>
            <w:r>
              <w:rPr>
                <w:rFonts w:ascii="宋体" w:hAnsi="宋体" w:cs="宋体"/>
                <w:color w:val="000000"/>
              </w:rPr>
              <w:t>1000</w:t>
            </w:r>
          </w:p>
        </w:tc>
        <w:tc>
          <w:tcPr>
            <w:tcW w:w="655" w:type="dxa"/>
            <w:vAlign w:val="center"/>
          </w:tcPr>
          <w:p>
            <w:pPr>
              <w:widowControl/>
              <w:jc w:val="center"/>
              <w:rPr>
                <w:rFonts w:ascii="宋体" w:cs="Times New Roman"/>
                <w:color w:val="000000"/>
              </w:rPr>
            </w:pPr>
            <w:r>
              <w:rPr>
                <w:rFonts w:ascii="宋体" w:hAnsi="宋体" w:cs="宋体"/>
                <w:color w:val="000000"/>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6W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Times New Roman"/>
                <w:color w:val="000000"/>
              </w:rPr>
            </w:pPr>
            <w:r>
              <w:rPr>
                <w:rFonts w:ascii="宋体" w:hAnsi="宋体" w:cs="宋体"/>
                <w:color w:val="000000"/>
              </w:rPr>
              <w:t>100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39" w:type="dxa"/>
            <w:vAlign w:val="center"/>
          </w:tcPr>
          <w:p>
            <w:pPr>
              <w:widowControl/>
              <w:jc w:val="center"/>
              <w:rPr>
                <w:rFonts w:ascii="宋体" w:cs="Times New Roman"/>
                <w:color w:val="000000"/>
              </w:rPr>
            </w:pPr>
            <w:r>
              <w:rPr>
                <w:rFonts w:ascii="宋体" w:hAnsi="宋体" w:cs="宋体"/>
                <w:color w:val="000000"/>
              </w:rPr>
              <w:t>300</w:t>
            </w:r>
          </w:p>
        </w:tc>
        <w:tc>
          <w:tcPr>
            <w:tcW w:w="654" w:type="dxa"/>
            <w:vAlign w:val="center"/>
          </w:tcPr>
          <w:p>
            <w:pPr>
              <w:widowControl/>
              <w:jc w:val="center"/>
              <w:rPr>
                <w:rFonts w:ascii="宋体" w:cs="Times New Roman"/>
                <w:color w:val="000000"/>
              </w:rPr>
            </w:pPr>
            <w:r>
              <w:rPr>
                <w:rFonts w:ascii="宋体" w:hAnsi="宋体" w:cs="宋体"/>
                <w:color w:val="000000"/>
              </w:rPr>
              <w:t>400</w:t>
            </w:r>
          </w:p>
        </w:tc>
        <w:tc>
          <w:tcPr>
            <w:tcW w:w="655" w:type="dxa"/>
            <w:vAlign w:val="center"/>
          </w:tcPr>
          <w:p>
            <w:pPr>
              <w:widowControl/>
              <w:jc w:val="center"/>
              <w:rPr>
                <w:rFonts w:ascii="宋体" w:cs="Times New Roman"/>
                <w:color w:val="000000"/>
              </w:rPr>
            </w:pPr>
            <w:r>
              <w:rPr>
                <w:rFonts w:ascii="宋体" w:hAnsi="宋体" w:cs="宋体"/>
                <w:color w:val="000000"/>
              </w:rPr>
              <w:t>400</w:t>
            </w:r>
          </w:p>
        </w:tc>
        <w:tc>
          <w:tcPr>
            <w:tcW w:w="655" w:type="dxa"/>
            <w:vAlign w:val="center"/>
          </w:tcPr>
          <w:p>
            <w:pPr>
              <w:widowControl/>
              <w:jc w:val="center"/>
              <w:rPr>
                <w:rFonts w:ascii="宋体" w:cs="Times New Roman"/>
                <w:color w:val="000000"/>
              </w:rPr>
            </w:pPr>
            <w:r>
              <w:rPr>
                <w:rFonts w:ascii="宋体" w:hAnsi="宋体" w:cs="宋体"/>
                <w:color w:val="000000"/>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8W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Times New Roman"/>
                <w:color w:val="000000"/>
              </w:rPr>
            </w:pPr>
            <w:r>
              <w:rPr>
                <w:rFonts w:ascii="宋体" w:hAnsi="宋体" w:cs="宋体"/>
                <w:color w:val="000000"/>
              </w:rPr>
              <w:t>100</w:t>
            </w:r>
          </w:p>
        </w:tc>
        <w:tc>
          <w:tcPr>
            <w:tcW w:w="639" w:type="dxa"/>
            <w:vAlign w:val="center"/>
          </w:tcPr>
          <w:p>
            <w:pPr>
              <w:widowControl/>
              <w:jc w:val="center"/>
              <w:rPr>
                <w:rFonts w:ascii="宋体" w:cs="Times New Roman"/>
                <w:color w:val="000000"/>
              </w:rPr>
            </w:pPr>
            <w:r>
              <w:rPr>
                <w:rFonts w:ascii="宋体" w:hAnsi="宋体" w:cs="宋体"/>
                <w:color w:val="000000"/>
              </w:rPr>
              <w:t>200</w:t>
            </w:r>
          </w:p>
        </w:tc>
        <w:tc>
          <w:tcPr>
            <w:tcW w:w="654" w:type="dxa"/>
            <w:vAlign w:val="center"/>
          </w:tcPr>
          <w:p>
            <w:pPr>
              <w:widowControl/>
              <w:jc w:val="center"/>
              <w:rPr>
                <w:rFonts w:ascii="宋体" w:cs="Times New Roman"/>
                <w:color w:val="000000"/>
              </w:rPr>
            </w:pPr>
            <w:r>
              <w:rPr>
                <w:rFonts w:ascii="宋体" w:hAnsi="宋体" w:cs="宋体"/>
                <w:color w:val="000000"/>
              </w:rPr>
              <w:t>300</w:t>
            </w:r>
          </w:p>
        </w:tc>
        <w:tc>
          <w:tcPr>
            <w:tcW w:w="655" w:type="dxa"/>
            <w:vAlign w:val="center"/>
          </w:tcPr>
          <w:p>
            <w:pPr>
              <w:widowControl/>
              <w:jc w:val="center"/>
              <w:rPr>
                <w:rFonts w:ascii="宋体" w:cs="Times New Roman"/>
                <w:color w:val="000000"/>
              </w:rPr>
            </w:pPr>
            <w:r>
              <w:rPr>
                <w:rFonts w:ascii="宋体" w:hAnsi="宋体" w:cs="宋体"/>
                <w:color w:val="000000"/>
              </w:rPr>
              <w:t>300</w:t>
            </w:r>
          </w:p>
        </w:tc>
        <w:tc>
          <w:tcPr>
            <w:tcW w:w="655" w:type="dxa"/>
            <w:vAlign w:val="center"/>
          </w:tcPr>
          <w:p>
            <w:pPr>
              <w:widowControl/>
              <w:jc w:val="center"/>
              <w:rPr>
                <w:rFonts w:ascii="宋体" w:cs="Times New Roman"/>
                <w:color w:val="000000"/>
              </w:rPr>
            </w:pPr>
            <w:r>
              <w:rPr>
                <w:rFonts w:ascii="宋体" w:hAnsi="宋体" w:cs="宋体"/>
                <w:color w:val="000000"/>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vAlign w:val="center"/>
          </w:tcPr>
          <w:p>
            <w:pPr>
              <w:widowControl/>
              <w:jc w:val="center"/>
              <w:rPr>
                <w:rFonts w:ascii="宋体" w:cs="Times New Roman"/>
                <w:color w:val="000000"/>
              </w:rPr>
            </w:pPr>
            <w:r>
              <w:rPr>
                <w:rFonts w:ascii="宋体" w:hAnsi="宋体" w:cs="宋体"/>
                <w:color w:val="000000"/>
              </w:rPr>
              <w:t>10W</w:t>
            </w:r>
          </w:p>
        </w:tc>
        <w:tc>
          <w:tcPr>
            <w:tcW w:w="804"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805" w:type="dxa"/>
            <w:vAlign w:val="center"/>
          </w:tcPr>
          <w:p>
            <w:pPr>
              <w:widowControl/>
              <w:jc w:val="center"/>
              <w:rPr>
                <w:rFonts w:ascii="宋体" w:cs="宋体"/>
                <w:color w:val="000000"/>
              </w:rPr>
            </w:pPr>
            <w:r>
              <w:rPr>
                <w:rFonts w:ascii="宋体" w:cs="宋体"/>
                <w:color w:val="000000"/>
              </w:rPr>
              <w:t>0</w:t>
            </w:r>
          </w:p>
        </w:tc>
        <w:tc>
          <w:tcPr>
            <w:tcW w:w="638"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39" w:type="dxa"/>
            <w:vAlign w:val="center"/>
          </w:tcPr>
          <w:p>
            <w:pPr>
              <w:widowControl/>
              <w:jc w:val="center"/>
              <w:rPr>
                <w:rFonts w:ascii="宋体" w:cs="宋体"/>
                <w:color w:val="000000"/>
              </w:rPr>
            </w:pPr>
            <w:r>
              <w:rPr>
                <w:rFonts w:ascii="宋体" w:cs="宋体"/>
                <w:color w:val="000000"/>
              </w:rPr>
              <w:t>0</w:t>
            </w:r>
          </w:p>
        </w:tc>
        <w:tc>
          <w:tcPr>
            <w:tcW w:w="654" w:type="dxa"/>
            <w:vAlign w:val="center"/>
          </w:tcPr>
          <w:p>
            <w:pPr>
              <w:widowControl/>
              <w:jc w:val="center"/>
              <w:rPr>
                <w:rFonts w:ascii="宋体" w:cs="宋体"/>
                <w:color w:val="000000"/>
              </w:rPr>
            </w:pPr>
            <w:r>
              <w:rPr>
                <w:rFonts w:ascii="宋体" w:cs="宋体"/>
                <w:color w:val="000000"/>
              </w:rPr>
              <w:t>0</w:t>
            </w:r>
          </w:p>
        </w:tc>
        <w:tc>
          <w:tcPr>
            <w:tcW w:w="655" w:type="dxa"/>
            <w:vAlign w:val="center"/>
          </w:tcPr>
          <w:p>
            <w:pPr>
              <w:widowControl/>
              <w:jc w:val="center"/>
              <w:rPr>
                <w:rFonts w:ascii="宋体" w:cs="Times New Roman"/>
                <w:color w:val="000000"/>
              </w:rPr>
            </w:pPr>
            <w:r>
              <w:rPr>
                <w:rFonts w:ascii="宋体" w:hAnsi="宋体" w:cs="宋体"/>
                <w:color w:val="000000"/>
              </w:rPr>
              <w:t>100</w:t>
            </w:r>
          </w:p>
        </w:tc>
        <w:tc>
          <w:tcPr>
            <w:tcW w:w="655" w:type="dxa"/>
            <w:vAlign w:val="center"/>
          </w:tcPr>
          <w:p>
            <w:pPr>
              <w:widowControl/>
              <w:jc w:val="center"/>
              <w:rPr>
                <w:rFonts w:ascii="宋体" w:cs="Times New Roman"/>
                <w:color w:val="000000"/>
              </w:rPr>
            </w:pPr>
            <w:r>
              <w:rPr>
                <w:rFonts w:ascii="宋体" w:hAnsi="宋体" w:cs="宋体"/>
                <w:color w:val="000000"/>
              </w:rPr>
              <w:t>200</w:t>
            </w:r>
          </w:p>
        </w:tc>
      </w:tr>
    </w:tbl>
    <w:p>
      <w:pPr>
        <w:widowControl/>
        <w:rPr>
          <w:rFonts w:ascii="宋体" w:cs="Times New Roman"/>
          <w:b/>
          <w:bCs/>
          <w:color w:val="000000"/>
        </w:rPr>
      </w:pPr>
    </w:p>
    <w:p>
      <w:pPr>
        <w:widowControl/>
        <w:rPr>
          <w:rFonts w:ascii="宋体" w:cs="Times New Roman"/>
          <w:b/>
          <w:bCs/>
          <w:color w:val="000000"/>
        </w:rPr>
      </w:pPr>
    </w:p>
    <w:p>
      <w:pPr>
        <w:widowControl/>
        <w:rPr>
          <w:rFonts w:ascii="宋体" w:cs="Times New Roman"/>
          <w:b/>
          <w:bCs/>
          <w:color w:val="000000"/>
        </w:rPr>
      </w:pPr>
      <w:r>
        <w:rPr>
          <w:rFonts w:ascii="宋体" w:hAnsi="宋体" w:cs="宋体"/>
          <w:b/>
          <w:bCs/>
          <w:color w:val="000000"/>
        </w:rPr>
        <w:t>1500KG</w:t>
      </w:r>
      <w:r>
        <w:rPr>
          <w:rFonts w:hint="eastAsia" w:ascii="宋体" w:hAnsi="宋体" w:cs="宋体"/>
          <w:b/>
          <w:bCs/>
          <w:color w:val="000000"/>
        </w:rPr>
        <w:t>以上的双方商议决定。</w:t>
      </w: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widowControl/>
        <w:jc w:val="left"/>
        <w:rPr>
          <w:rFonts w:asciiTheme="majorEastAsia" w:hAnsiTheme="majorEastAsia" w:eastAsiaTheme="majorEastAsia" w:cstheme="majorEastAsia"/>
          <w:color w:val="000000"/>
          <w:szCs w:val="21"/>
        </w:rPr>
      </w:pPr>
    </w:p>
    <w:p>
      <w:pPr>
        <w:pStyle w:val="3"/>
        <w:jc w:val="center"/>
        <w:rPr>
          <w:rFonts w:hint="default" w:ascii="Times New Roman" w:hAnsi="Times New Roman" w:eastAsia="黑体"/>
          <w:color w:val="000000"/>
          <w:lang w:val="en-US" w:eastAsia="zh-CN"/>
        </w:rPr>
      </w:pPr>
      <w:r>
        <w:rPr>
          <w:rFonts w:hint="eastAsia" w:ascii="Times New Roman" w:hAnsi="Times New Roman"/>
          <w:color w:val="000000"/>
          <w:lang w:val="en-US" w:eastAsia="zh-CN"/>
        </w:rPr>
        <w:t>附件4</w:t>
      </w:r>
    </w:p>
    <w:p>
      <w:pPr>
        <w:pStyle w:val="3"/>
        <w:jc w:val="center"/>
        <w:rPr>
          <w:rFonts w:ascii="Times New Roman" w:hAnsi="Times New Roman"/>
          <w:color w:val="000000"/>
        </w:rPr>
      </w:pPr>
      <w:r>
        <w:rPr>
          <w:rFonts w:hint="eastAsia" w:ascii="Times New Roman" w:hAnsi="Times New Roman"/>
          <w:color w:val="000000"/>
        </w:rPr>
        <w:t>商业合作伙伴贸易安全协议书</w:t>
      </w:r>
    </w:p>
    <w:p>
      <w:pPr>
        <w:widowControl/>
        <w:ind w:firstLine="420" w:firstLineChars="0"/>
        <w:jc w:val="left"/>
        <w:rPr>
          <w:rFonts w:hint="eastAsia" w:ascii="宋体" w:hAnsi="宋体"/>
          <w:color w:val="000000"/>
          <w:szCs w:val="21"/>
        </w:rPr>
      </w:pPr>
      <w:r>
        <w:rPr>
          <w:rFonts w:hint="eastAsia" w:ascii="宋体" w:hAnsi="宋体"/>
          <w:color w:val="000000"/>
          <w:szCs w:val="21"/>
        </w:rPr>
        <w:t>经甲乙双方友好协商，为保障甲乙双方利益，提升供应链安全保障水平，拓展双方未来持续高效合作空间，就商业合作伙伴贸易安全达成以下协议：</w:t>
      </w:r>
    </w:p>
    <w:p>
      <w:pPr>
        <w:widowControl/>
        <w:jc w:val="left"/>
        <w:rPr>
          <w:rFonts w:hint="eastAsia" w:ascii="宋体" w:hAnsi="宋体"/>
          <w:color w:val="000000"/>
          <w:szCs w:val="21"/>
        </w:rPr>
      </w:pPr>
      <w:r>
        <w:rPr>
          <w:rFonts w:hint="eastAsia" w:ascii="宋体" w:hAnsi="宋体"/>
          <w:color w:val="000000"/>
          <w:szCs w:val="21"/>
        </w:rPr>
        <w:t>第一条、 为确保甲、乙双方的商业行为符合贸易安全相关规定，保障整体货物交付稳定与</w:t>
      </w:r>
      <w:r>
        <w:rPr>
          <w:rFonts w:hint="eastAsia" w:ascii="宋体" w:hAnsi="宋体"/>
          <w:color w:val="000000"/>
          <w:szCs w:val="21"/>
          <w:lang w:val="en-US" w:eastAsia="zh-CN"/>
        </w:rPr>
        <w:tab/>
      </w:r>
      <w:r>
        <w:rPr>
          <w:rFonts w:hint="eastAsia" w:ascii="宋体" w:hAnsi="宋体"/>
          <w:color w:val="000000"/>
          <w:szCs w:val="21"/>
        </w:rPr>
        <w:t>供应链安全，</w:t>
      </w:r>
      <w:r>
        <w:rPr>
          <w:rFonts w:hint="eastAsia" w:ascii="宋体" w:hAnsi="宋体"/>
          <w:color w:val="000000"/>
          <w:szCs w:val="21"/>
          <w:lang w:eastAsia="zh-CN"/>
        </w:rPr>
        <w:t>甲乙双方需依照海关</w:t>
      </w:r>
      <w:r>
        <w:rPr>
          <w:rFonts w:hint="eastAsia" w:ascii="宋体" w:hAnsi="宋体"/>
          <w:color w:val="000000"/>
          <w:szCs w:val="21"/>
          <w:lang w:val="en-US" w:eastAsia="zh-CN"/>
        </w:rPr>
        <w:t>AEO认证标准对场所安全、人员安全、货物安全的要</w:t>
      </w:r>
      <w:r>
        <w:rPr>
          <w:rFonts w:hint="eastAsia" w:ascii="宋体" w:hAnsi="宋体"/>
          <w:color w:val="000000"/>
          <w:szCs w:val="21"/>
          <w:lang w:val="en-US" w:eastAsia="zh-CN"/>
        </w:rPr>
        <w:tab/>
      </w:r>
      <w:r>
        <w:rPr>
          <w:rFonts w:hint="eastAsia" w:ascii="宋体" w:hAnsi="宋体"/>
          <w:color w:val="000000"/>
          <w:szCs w:val="21"/>
          <w:lang w:val="en-US" w:eastAsia="zh-CN"/>
        </w:rPr>
        <w:t>求，持续优化和完善贸易安全管理；</w:t>
      </w:r>
    </w:p>
    <w:p>
      <w:pPr>
        <w:widowControl/>
        <w:jc w:val="left"/>
        <w:rPr>
          <w:rFonts w:hint="eastAsia" w:ascii="宋体" w:hAnsi="宋体"/>
          <w:color w:val="000000"/>
          <w:szCs w:val="21"/>
          <w:lang w:eastAsia="zh-CN"/>
        </w:rPr>
      </w:pPr>
      <w:r>
        <w:rPr>
          <w:rFonts w:hint="eastAsia" w:ascii="宋体" w:hAnsi="宋体"/>
          <w:color w:val="000000"/>
          <w:szCs w:val="21"/>
          <w:lang w:eastAsia="zh-CN"/>
        </w:rPr>
        <w:t>第二</w:t>
      </w:r>
      <w:r>
        <w:rPr>
          <w:rFonts w:hint="eastAsia" w:ascii="宋体" w:hAnsi="宋体"/>
          <w:color w:val="000000"/>
          <w:szCs w:val="21"/>
        </w:rPr>
        <w:t>条、 贸易安全是货物交付稳定和供应链安全的最大保障，</w:t>
      </w:r>
      <w:r>
        <w:rPr>
          <w:rFonts w:hint="eastAsia" w:ascii="宋体" w:hAnsi="宋体"/>
          <w:color w:val="000000"/>
          <w:szCs w:val="21"/>
          <w:lang w:eastAsia="zh-CN"/>
        </w:rPr>
        <w:t>甲乙</w:t>
      </w:r>
      <w:r>
        <w:rPr>
          <w:rFonts w:hint="eastAsia" w:ascii="宋体" w:hAnsi="宋体"/>
          <w:color w:val="000000"/>
          <w:szCs w:val="21"/>
        </w:rPr>
        <w:t>双方均同意持续执行贸</w:t>
      </w:r>
      <w:r>
        <w:rPr>
          <w:rFonts w:hint="eastAsia" w:ascii="宋体" w:hAnsi="宋体"/>
          <w:color w:val="000000"/>
          <w:szCs w:val="21"/>
          <w:lang w:val="en-US" w:eastAsia="zh-CN"/>
        </w:rPr>
        <w:tab/>
      </w:r>
      <w:r>
        <w:rPr>
          <w:rFonts w:hint="eastAsia" w:ascii="宋体" w:hAnsi="宋体"/>
          <w:color w:val="000000"/>
          <w:szCs w:val="21"/>
        </w:rPr>
        <w:t>易安全相关要求</w:t>
      </w:r>
      <w:r>
        <w:rPr>
          <w:rFonts w:hint="eastAsia" w:ascii="宋体" w:hAnsi="宋体"/>
          <w:color w:val="000000"/>
          <w:szCs w:val="21"/>
          <w:lang w:eastAsia="zh-CN"/>
        </w:rPr>
        <w:t>，</w:t>
      </w:r>
      <w:r>
        <w:rPr>
          <w:rFonts w:hint="eastAsia" w:ascii="宋体" w:hAnsi="宋体"/>
          <w:color w:val="000000"/>
          <w:szCs w:val="21"/>
        </w:rPr>
        <w:t>本协议</w:t>
      </w:r>
      <w:r>
        <w:rPr>
          <w:rFonts w:hint="eastAsia" w:ascii="宋体" w:hAnsi="宋体"/>
          <w:color w:val="000000"/>
          <w:szCs w:val="21"/>
          <w:lang w:val="en-US" w:eastAsia="zh-CN"/>
        </w:rPr>
        <w:t>自</w:t>
      </w:r>
      <w:r>
        <w:rPr>
          <w:rFonts w:hint="eastAsia" w:ascii="宋体" w:hAnsi="宋体"/>
          <w:color w:val="000000"/>
          <w:szCs w:val="21"/>
        </w:rPr>
        <w:t>签订</w:t>
      </w:r>
      <w:r>
        <w:rPr>
          <w:rFonts w:hint="eastAsia" w:ascii="宋体" w:hAnsi="宋体"/>
          <w:color w:val="000000"/>
          <w:szCs w:val="21"/>
          <w:lang w:val="en-US" w:eastAsia="zh-CN"/>
        </w:rPr>
        <w:t>之</w:t>
      </w:r>
      <w:r>
        <w:rPr>
          <w:rFonts w:hint="eastAsia" w:ascii="宋体" w:hAnsi="宋体"/>
          <w:color w:val="000000"/>
          <w:szCs w:val="21"/>
        </w:rPr>
        <w:t>日</w:t>
      </w:r>
      <w:r>
        <w:rPr>
          <w:rFonts w:hint="eastAsia" w:ascii="宋体" w:hAnsi="宋体"/>
          <w:color w:val="000000"/>
          <w:szCs w:val="21"/>
          <w:lang w:val="en-US" w:eastAsia="zh-CN"/>
        </w:rPr>
        <w:t>起</w:t>
      </w:r>
      <w:r>
        <w:rPr>
          <w:rFonts w:hint="eastAsia" w:ascii="宋体" w:hAnsi="宋体"/>
          <w:color w:val="000000"/>
          <w:szCs w:val="21"/>
        </w:rPr>
        <w:t>生效</w:t>
      </w:r>
      <w:r>
        <w:rPr>
          <w:rFonts w:hint="eastAsia" w:ascii="宋体" w:hAnsi="宋体"/>
          <w:color w:val="000000"/>
          <w:szCs w:val="21"/>
          <w:lang w:eastAsia="zh-CN"/>
        </w:rPr>
        <w:t>；</w:t>
      </w:r>
    </w:p>
    <w:p>
      <w:pPr>
        <w:widowControl/>
        <w:jc w:val="left"/>
        <w:rPr>
          <w:rFonts w:hint="eastAsia" w:ascii="宋体" w:hAnsi="宋体"/>
          <w:color w:val="000000"/>
          <w:szCs w:val="21"/>
        </w:rPr>
      </w:pPr>
      <w:r>
        <w:rPr>
          <w:rFonts w:hint="eastAsia" w:ascii="宋体" w:hAnsi="宋体"/>
          <w:color w:val="000000"/>
          <w:szCs w:val="21"/>
        </w:rPr>
        <w:t>第</w:t>
      </w:r>
      <w:r>
        <w:rPr>
          <w:rFonts w:hint="eastAsia" w:ascii="宋体" w:hAnsi="宋体"/>
          <w:color w:val="000000"/>
          <w:szCs w:val="21"/>
          <w:lang w:eastAsia="zh-CN"/>
        </w:rPr>
        <w:t>三</w:t>
      </w:r>
      <w:r>
        <w:rPr>
          <w:rFonts w:hint="eastAsia" w:ascii="宋体" w:hAnsi="宋体"/>
          <w:color w:val="000000"/>
          <w:szCs w:val="21"/>
        </w:rPr>
        <w:t>条、 本协议为合作合同不可分割的组成部分，甲乙双方</w:t>
      </w:r>
      <w:r>
        <w:rPr>
          <w:rFonts w:hint="eastAsia" w:ascii="宋体" w:hAnsi="宋体"/>
          <w:color w:val="000000"/>
          <w:szCs w:val="21"/>
          <w:lang w:val="en-US" w:eastAsia="zh-CN"/>
        </w:rPr>
        <w:t>需</w:t>
      </w:r>
      <w:r>
        <w:rPr>
          <w:rFonts w:hint="eastAsia" w:ascii="宋体" w:hAnsi="宋体"/>
          <w:color w:val="000000"/>
          <w:szCs w:val="21"/>
        </w:rPr>
        <w:t>共同遵守。</w:t>
      </w: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lang w:val="en-US" w:eastAsia="zh-CN"/>
        </w:rPr>
      </w:pPr>
      <w:r>
        <w:rPr>
          <w:rFonts w:hint="eastAsia" w:ascii="宋体" w:hAnsi="宋体"/>
          <w:color w:val="000000"/>
          <w:szCs w:val="21"/>
          <w:lang w:val="en-US" w:eastAsia="zh-CN"/>
        </w:rPr>
        <w:t xml:space="preserve"> </w:t>
      </w:r>
      <w:r>
        <w:rPr>
          <w:rFonts w:hint="eastAsia" w:ascii="宋体" w:hAnsi="宋体"/>
          <w:color w:val="000000"/>
          <w:szCs w:val="21"/>
        </w:rPr>
        <w:t>甲方：</w:t>
      </w:r>
      <w:r>
        <w:rPr>
          <w:rFonts w:hint="eastAsia" w:ascii="宋体" w:hAnsi="宋体"/>
          <w:color w:val="000000"/>
          <w:szCs w:val="21"/>
          <w:lang w:val="en-US" w:eastAsia="zh-CN"/>
        </w:rPr>
        <w:t>{CompanyName}                                                           （盖章）</w:t>
      </w: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p>
    <w:p>
      <w:pPr>
        <w:widowControl/>
        <w:jc w:val="left"/>
        <w:rPr>
          <w:rFonts w:hint="eastAsia" w:ascii="宋体" w:hAnsi="宋体"/>
          <w:color w:val="000000"/>
          <w:szCs w:val="21"/>
        </w:rPr>
      </w:pPr>
      <w:r>
        <w:rPr>
          <w:rFonts w:hint="eastAsia" w:ascii="宋体" w:hAnsi="宋体"/>
          <w:color w:val="000000"/>
          <w:szCs w:val="21"/>
        </w:rPr>
        <w:t>乙方：深圳市</w:t>
      </w:r>
      <w:r>
        <w:rPr>
          <w:rFonts w:hint="eastAsia" w:ascii="宋体" w:hAnsi="宋体"/>
          <w:color w:val="000000"/>
          <w:szCs w:val="21"/>
          <w:lang w:val="en-US" w:eastAsia="zh-CN"/>
        </w:rPr>
        <w:t>芯达通</w:t>
      </w:r>
      <w:r>
        <w:rPr>
          <w:rFonts w:hint="eastAsia" w:ascii="宋体" w:hAnsi="宋体"/>
          <w:color w:val="000000"/>
          <w:szCs w:val="21"/>
        </w:rPr>
        <w:t>供应链管理有限公司</w:t>
      </w:r>
    </w:p>
    <w:p>
      <w:pPr>
        <w:widowControl/>
        <w:jc w:val="left"/>
        <w:rPr>
          <w:rFonts w:hint="eastAsia" w:ascii="宋体" w:hAnsi="宋体"/>
          <w:color w:val="000000"/>
          <w:szCs w:val="21"/>
        </w:rPr>
      </w:pPr>
      <w:r>
        <w:rPr>
          <w:rFonts w:hint="eastAsia" w:ascii="宋体" w:hAnsi="宋体"/>
          <w:color w:val="000000"/>
          <w:szCs w:val="21"/>
          <w:lang w:val="en-US" w:eastAsia="zh-CN"/>
        </w:rPr>
        <w:t>（盖章）</w:t>
      </w:r>
    </w:p>
    <w:sectPr>
      <w:headerReference r:id="rId3" w:type="default"/>
      <w:footerReference r:id="rId4" w:type="default"/>
      <w:pgSz w:w="11906" w:h="16838"/>
      <w:pgMar w:top="1440" w:right="1797" w:bottom="1559" w:left="1797" w:header="851"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505" w:type="dxa"/>
      <w:tblInd w:w="108" w:type="dxa"/>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Layout w:type="fixed"/>
      <w:tblCellMar>
        <w:top w:w="0" w:type="dxa"/>
        <w:left w:w="108" w:type="dxa"/>
        <w:bottom w:w="0" w:type="dxa"/>
        <w:right w:w="108" w:type="dxa"/>
      </w:tblCellMar>
    </w:tblPr>
    <w:tblGrid>
      <w:gridCol w:w="1788"/>
      <w:gridCol w:w="6717"/>
    </w:tblGrid>
    <w:tr>
      <w:tblPrEx>
        <w:tblBorders>
          <w:top w:val="single" w:color="002060" w:sz="2" w:space="0"/>
          <w:left w:val="none" w:color="auto" w:sz="0" w:space="0"/>
          <w:bottom w:val="none" w:color="auto" w:sz="0" w:space="0"/>
          <w:right w:val="none" w:color="auto" w:sz="0" w:space="0"/>
          <w:insideH w:val="single" w:color="808080" w:sz="18" w:space="0"/>
          <w:insideV w:val="single" w:color="002060" w:sz="2" w:space="0"/>
        </w:tblBorders>
        <w:tblCellMar>
          <w:top w:w="0" w:type="dxa"/>
          <w:left w:w="108" w:type="dxa"/>
          <w:bottom w:w="0" w:type="dxa"/>
          <w:right w:w="108" w:type="dxa"/>
        </w:tblCellMar>
      </w:tblPrEx>
      <w:tc>
        <w:tcPr>
          <w:tcW w:w="1788" w:type="dxa"/>
        </w:tcPr>
        <w:p>
          <w:pPr>
            <w:pStyle w:val="8"/>
            <w:jc w:val="center"/>
            <w:rPr>
              <w:b/>
              <w:bCs/>
              <w:color w:val="002060"/>
            </w:rPr>
          </w:pPr>
          <w:r>
            <w:rPr>
              <w:b/>
              <w:color w:val="002060"/>
            </w:rPr>
            <w:fldChar w:fldCharType="begin"/>
          </w:r>
          <w:r>
            <w:rPr>
              <w:b/>
              <w:color w:val="002060"/>
            </w:rPr>
            <w:instrText xml:space="preserve">PAGE</w:instrText>
          </w:r>
          <w:r>
            <w:rPr>
              <w:b/>
              <w:color w:val="002060"/>
            </w:rPr>
            <w:fldChar w:fldCharType="separate"/>
          </w:r>
          <w:r>
            <w:rPr>
              <w:b/>
              <w:color w:val="002060"/>
            </w:rPr>
            <w:t>1</w:t>
          </w:r>
          <w:r>
            <w:rPr>
              <w:b/>
              <w:color w:val="002060"/>
            </w:rPr>
            <w:fldChar w:fldCharType="end"/>
          </w:r>
          <w:r>
            <w:rPr>
              <w:color w:val="002060"/>
              <w:lang w:val="zh-CN"/>
            </w:rPr>
            <w:t xml:space="preserve"> / </w:t>
          </w:r>
          <w:r>
            <w:rPr>
              <w:b/>
              <w:color w:val="002060"/>
            </w:rPr>
            <w:fldChar w:fldCharType="begin"/>
          </w:r>
          <w:r>
            <w:rPr>
              <w:b/>
              <w:color w:val="002060"/>
            </w:rPr>
            <w:instrText xml:space="preserve">NUMPAGES</w:instrText>
          </w:r>
          <w:r>
            <w:rPr>
              <w:b/>
              <w:color w:val="002060"/>
            </w:rPr>
            <w:fldChar w:fldCharType="separate"/>
          </w:r>
          <w:r>
            <w:rPr>
              <w:b/>
              <w:color w:val="002060"/>
            </w:rPr>
            <w:t>1</w:t>
          </w:r>
          <w:r>
            <w:rPr>
              <w:b/>
              <w:color w:val="002060"/>
            </w:rPr>
            <w:fldChar w:fldCharType="end"/>
          </w:r>
        </w:p>
      </w:tc>
      <w:tc>
        <w:tcPr>
          <w:tcW w:w="6717" w:type="dxa"/>
        </w:tcPr>
        <w:p>
          <w:pPr>
            <w:pStyle w:val="8"/>
            <w:wordWrap w:val="0"/>
            <w:jc w:val="right"/>
            <w:rPr>
              <w:rFonts w:hint="eastAsia" w:ascii="Times New Roman" w:hAnsi="Times New Roman" w:eastAsia="楷体_GB2312" w:cs="Times New Roman"/>
              <w:color w:val="002060"/>
              <w:sz w:val="21"/>
              <w:szCs w:val="21"/>
              <w:lang w:eastAsia="zh-CN"/>
            </w:rPr>
          </w:pPr>
          <w:r>
            <w:rPr>
              <w:rFonts w:hint="eastAsia" w:ascii="Times New Roman" w:hAnsi="Times New Roman" w:eastAsia="楷体_GB2312" w:cs="Times New Roman"/>
              <w:color w:val="002060"/>
              <w:sz w:val="21"/>
              <w:szCs w:val="21"/>
              <w:lang w:eastAsia="zh-CN"/>
            </w:rPr>
            <w:t>深圳市芯达通供应链管理有限公司</w:t>
          </w:r>
        </w:p>
        <w:p>
          <w:pPr>
            <w:pStyle w:val="8"/>
            <w:wordWrap w:val="0"/>
            <w:jc w:val="right"/>
            <w:rPr>
              <w:color w:val="002060"/>
            </w:rPr>
          </w:pPr>
          <w:r>
            <w:rPr>
              <w:rFonts w:hint="eastAsia"/>
              <w:color w:val="002060"/>
              <w:lang w:val="en-US" w:eastAsia="zh-CN"/>
            </w:rPr>
            <w:t>Shenzhen Xindatong Supply Chain Management Co., Ltd</w:t>
          </w:r>
        </w:p>
      </w:tc>
    </w:tr>
  </w:tbl>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8522" w:type="dxa"/>
      <w:tblInd w:w="0" w:type="dxa"/>
      <w:tblLayout w:type="fixed"/>
      <w:tblCellMar>
        <w:top w:w="0" w:type="dxa"/>
        <w:left w:w="108" w:type="dxa"/>
        <w:bottom w:w="0" w:type="dxa"/>
        <w:right w:w="108" w:type="dxa"/>
      </w:tblCellMar>
    </w:tblPr>
    <w:tblGrid>
      <w:gridCol w:w="3936"/>
      <w:gridCol w:w="4586"/>
    </w:tblGrid>
    <w:tr>
      <w:tblPrEx>
        <w:tblCellMar>
          <w:top w:w="0" w:type="dxa"/>
          <w:left w:w="108" w:type="dxa"/>
          <w:bottom w:w="0" w:type="dxa"/>
          <w:right w:w="108" w:type="dxa"/>
        </w:tblCellMar>
      </w:tblPrEx>
      <w:tc>
        <w:tcPr>
          <w:tcW w:w="3936" w:type="dxa"/>
          <w:vAlign w:val="center"/>
        </w:tcPr>
        <w:p>
          <w:pPr>
            <w:pStyle w:val="9"/>
            <w:pBdr>
              <w:bottom w:val="none" w:color="auto" w:sz="0" w:space="0"/>
            </w:pBdr>
            <w:jc w:val="both"/>
            <w:rPr>
              <w:sz w:val="10"/>
              <w:szCs w:val="10"/>
            </w:rPr>
          </w:pPr>
          <w:r>
            <w:rPr>
              <w:rFonts w:ascii="Calibri" w:hAnsi="Calibri" w:eastAsia="宋体" w:cs="黑体"/>
              <w:kern w:val="2"/>
              <w:sz w:val="10"/>
              <w:szCs w:val="10"/>
              <w:lang w:val="en-US" w:eastAsia="zh-CN" w:bidi="ar-SA"/>
            </w:rPr>
            <w:drawing>
              <wp:inline distT="0" distB="0" distL="114300" distR="114300">
                <wp:extent cx="1141730" cy="541655"/>
                <wp:effectExtent l="0" t="0" r="1270" b="0"/>
                <wp:docPr id="1" name="图片 1" descr="C:\Documents and Settings\Administrator\桌面\芯达通logo.png芯达通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芯达通logo.png芯达通logo"/>
                        <pic:cNvPicPr>
                          <a:picLocks noChangeAspect="1"/>
                        </pic:cNvPicPr>
                      </pic:nvPicPr>
                      <pic:blipFill>
                        <a:blip r:embed="rId1">
                          <a:lum/>
                        </a:blip>
                        <a:stretch>
                          <a:fillRect/>
                        </a:stretch>
                      </pic:blipFill>
                      <pic:spPr>
                        <a:xfrm>
                          <a:off x="0" y="0"/>
                          <a:ext cx="1141730" cy="541655"/>
                        </a:xfrm>
                        <a:prstGeom prst="rect">
                          <a:avLst/>
                        </a:prstGeom>
                        <a:noFill/>
                        <a:ln>
                          <a:noFill/>
                        </a:ln>
                      </pic:spPr>
                    </pic:pic>
                  </a:graphicData>
                </a:graphic>
              </wp:inline>
            </w:drawing>
          </w:r>
        </w:p>
      </w:tc>
      <w:tc>
        <w:tcPr>
          <w:tcW w:w="4586" w:type="dxa"/>
          <w:vAlign w:val="center"/>
        </w:tcPr>
        <w:p>
          <w:pPr>
            <w:pStyle w:val="9"/>
            <w:pBdr>
              <w:bottom w:val="none" w:color="auto" w:sz="0" w:space="0"/>
            </w:pBdr>
            <w:jc w:val="right"/>
            <w:rPr>
              <w:rFonts w:ascii="楷体_GB2312" w:eastAsia="楷体_GB2312"/>
              <w:sz w:val="21"/>
              <w:szCs w:val="21"/>
            </w:rPr>
          </w:pPr>
        </w:p>
        <w:p>
          <w:pPr>
            <w:pStyle w:val="9"/>
            <w:pBdr>
              <w:bottom w:val="none" w:color="auto" w:sz="0" w:space="0"/>
            </w:pBdr>
            <w:jc w:val="right"/>
            <w:rPr>
              <w:rFonts w:ascii="楷体_GB2312" w:eastAsia="楷体_GB2312"/>
              <w:sz w:val="21"/>
              <w:szCs w:val="21"/>
            </w:rPr>
          </w:pPr>
          <w:r>
            <w:rPr>
              <w:rFonts w:hint="eastAsia" w:ascii="楷体_GB2312" w:eastAsia="楷体_GB2312"/>
              <w:sz w:val="21"/>
              <w:szCs w:val="21"/>
            </w:rPr>
            <w:t>供应链服务协议</w:t>
          </w:r>
        </w:p>
      </w:tc>
    </w:tr>
  </w:tbl>
  <w:p>
    <w:pPr>
      <w:pStyle w:val="9"/>
      <w:jc w:val="both"/>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43C8"/>
    <w:multiLevelType w:val="multilevel"/>
    <w:tmpl w:val="122C43C8"/>
    <w:lvl w:ilvl="0" w:tentative="0">
      <w:start w:val="1"/>
      <w:numFmt w:val="decimal"/>
      <w:lvlText w:val="5.%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9AF1169"/>
    <w:multiLevelType w:val="multilevel"/>
    <w:tmpl w:val="19AF1169"/>
    <w:lvl w:ilvl="0" w:tentative="0">
      <w:start w:val="1"/>
      <w:numFmt w:val="decimal"/>
      <w:lvlText w:val="8.%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F5E3A15"/>
    <w:multiLevelType w:val="multilevel"/>
    <w:tmpl w:val="3F5E3A15"/>
    <w:lvl w:ilvl="0" w:tentative="0">
      <w:start w:val="1"/>
      <w:numFmt w:val="decimal"/>
      <w:lvlText w:val="4.%1"/>
      <w:lvlJc w:val="left"/>
      <w:pPr>
        <w:tabs>
          <w:tab w:val="left" w:pos="567"/>
        </w:tabs>
        <w:ind w:left="567" w:hanging="567"/>
      </w:pPr>
      <w:rPr>
        <w:rFonts w:hint="default"/>
      </w:rPr>
    </w:lvl>
    <w:lvl w:ilvl="1" w:tentative="0">
      <w:start w:val="1"/>
      <w:numFmt w:val="decimal"/>
      <w:lvlText w:val="4.2.%2"/>
      <w:lvlJc w:val="left"/>
      <w:pPr>
        <w:tabs>
          <w:tab w:val="left" w:pos="1134"/>
        </w:tabs>
        <w:ind w:left="1134" w:hanging="85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4F41045"/>
    <w:multiLevelType w:val="multilevel"/>
    <w:tmpl w:val="44F41045"/>
    <w:lvl w:ilvl="0" w:tentative="0">
      <w:start w:val="1"/>
      <w:numFmt w:val="decimal"/>
      <w:lvlText w:val="9.%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DDE7C3B"/>
    <w:multiLevelType w:val="multilevel"/>
    <w:tmpl w:val="4DDE7C3B"/>
    <w:lvl w:ilvl="0" w:tentative="0">
      <w:start w:val="1"/>
      <w:numFmt w:val="chineseCountingThousand"/>
      <w:lvlText w:val="第%1条"/>
      <w:lvlJc w:val="left"/>
      <w:pPr>
        <w:tabs>
          <w:tab w:val="left" w:pos="2258"/>
        </w:tabs>
        <w:ind w:left="2258" w:hanging="840"/>
      </w:pPr>
      <w:rPr>
        <w:rFonts w:hint="default"/>
      </w:rPr>
    </w:lvl>
    <w:lvl w:ilvl="1" w:tentative="0">
      <w:start w:val="1"/>
      <w:numFmt w:val="lowerLetter"/>
      <w:lvlText w:val="%2)"/>
      <w:lvlJc w:val="left"/>
      <w:pPr>
        <w:tabs>
          <w:tab w:val="left" w:pos="2258"/>
        </w:tabs>
        <w:ind w:left="2258" w:hanging="420"/>
      </w:pPr>
    </w:lvl>
    <w:lvl w:ilvl="2" w:tentative="0">
      <w:start w:val="1"/>
      <w:numFmt w:val="lowerRoman"/>
      <w:lvlText w:val="%3."/>
      <w:lvlJc w:val="right"/>
      <w:pPr>
        <w:tabs>
          <w:tab w:val="left" w:pos="2678"/>
        </w:tabs>
        <w:ind w:left="2678" w:hanging="420"/>
      </w:pPr>
    </w:lvl>
    <w:lvl w:ilvl="3" w:tentative="0">
      <w:start w:val="1"/>
      <w:numFmt w:val="decimal"/>
      <w:lvlText w:val="%4."/>
      <w:lvlJc w:val="left"/>
      <w:pPr>
        <w:tabs>
          <w:tab w:val="left" w:pos="3098"/>
        </w:tabs>
        <w:ind w:left="3098" w:hanging="420"/>
      </w:pPr>
    </w:lvl>
    <w:lvl w:ilvl="4" w:tentative="0">
      <w:start w:val="1"/>
      <w:numFmt w:val="lowerLetter"/>
      <w:lvlText w:val="%5)"/>
      <w:lvlJc w:val="left"/>
      <w:pPr>
        <w:tabs>
          <w:tab w:val="left" w:pos="3518"/>
        </w:tabs>
        <w:ind w:left="3518" w:hanging="420"/>
      </w:pPr>
    </w:lvl>
    <w:lvl w:ilvl="5" w:tentative="0">
      <w:start w:val="1"/>
      <w:numFmt w:val="lowerRoman"/>
      <w:lvlText w:val="%6."/>
      <w:lvlJc w:val="right"/>
      <w:pPr>
        <w:tabs>
          <w:tab w:val="left" w:pos="3938"/>
        </w:tabs>
        <w:ind w:left="3938" w:hanging="420"/>
      </w:pPr>
    </w:lvl>
    <w:lvl w:ilvl="6" w:tentative="0">
      <w:start w:val="1"/>
      <w:numFmt w:val="decimal"/>
      <w:lvlText w:val="%7."/>
      <w:lvlJc w:val="left"/>
      <w:pPr>
        <w:tabs>
          <w:tab w:val="left" w:pos="4358"/>
        </w:tabs>
        <w:ind w:left="4358" w:hanging="420"/>
      </w:pPr>
    </w:lvl>
    <w:lvl w:ilvl="7" w:tentative="0">
      <w:start w:val="1"/>
      <w:numFmt w:val="lowerLetter"/>
      <w:lvlText w:val="%8)"/>
      <w:lvlJc w:val="left"/>
      <w:pPr>
        <w:tabs>
          <w:tab w:val="left" w:pos="4778"/>
        </w:tabs>
        <w:ind w:left="4778" w:hanging="420"/>
      </w:pPr>
    </w:lvl>
    <w:lvl w:ilvl="8" w:tentative="0">
      <w:start w:val="1"/>
      <w:numFmt w:val="lowerRoman"/>
      <w:lvlText w:val="%9."/>
      <w:lvlJc w:val="right"/>
      <w:pPr>
        <w:tabs>
          <w:tab w:val="left" w:pos="5198"/>
        </w:tabs>
        <w:ind w:left="5198" w:hanging="420"/>
      </w:pPr>
    </w:lvl>
  </w:abstractNum>
  <w:abstractNum w:abstractNumId="5">
    <w:nsid w:val="5A542EAF"/>
    <w:multiLevelType w:val="singleLevel"/>
    <w:tmpl w:val="5A542EAF"/>
    <w:lvl w:ilvl="0" w:tentative="0">
      <w:start w:val="1"/>
      <w:numFmt w:val="decimal"/>
      <w:suff w:val="nothing"/>
      <w:lvlText w:val="（%1）"/>
      <w:lvlJc w:val="left"/>
    </w:lvl>
  </w:abstractNum>
  <w:abstractNum w:abstractNumId="6">
    <w:nsid w:val="64317669"/>
    <w:multiLevelType w:val="multilevel"/>
    <w:tmpl w:val="64317669"/>
    <w:lvl w:ilvl="0" w:tentative="0">
      <w:start w:val="1"/>
      <w:numFmt w:val="decimal"/>
      <w:lvlText w:val="2.%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5963FB3"/>
    <w:multiLevelType w:val="multilevel"/>
    <w:tmpl w:val="75963FB3"/>
    <w:lvl w:ilvl="0" w:tentative="0">
      <w:start w:val="1"/>
      <w:numFmt w:val="decimal"/>
      <w:lvlText w:val="3.%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770729D7"/>
    <w:multiLevelType w:val="multilevel"/>
    <w:tmpl w:val="770729D7"/>
    <w:lvl w:ilvl="0" w:tentative="0">
      <w:start w:val="1"/>
      <w:numFmt w:val="decimal"/>
      <w:lvlText w:val="10.%1"/>
      <w:lvlJc w:val="left"/>
      <w:pPr>
        <w:tabs>
          <w:tab w:val="left" w:pos="567"/>
        </w:tabs>
        <w:ind w:left="567" w:hanging="567"/>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6"/>
  </w:num>
  <w:num w:numId="3">
    <w:abstractNumId w:val="7"/>
  </w:num>
  <w:num w:numId="4">
    <w:abstractNumId w:val="2"/>
  </w:num>
  <w:num w:numId="5">
    <w:abstractNumId w:val="0"/>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A4AFC"/>
    <w:rsid w:val="001B20C8"/>
    <w:rsid w:val="001B3106"/>
    <w:rsid w:val="001C0BE6"/>
    <w:rsid w:val="001D2D2F"/>
    <w:rsid w:val="001D5880"/>
    <w:rsid w:val="001E2EC2"/>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E6A18"/>
    <w:rsid w:val="009F44B6"/>
    <w:rsid w:val="00A16478"/>
    <w:rsid w:val="00A2258E"/>
    <w:rsid w:val="00A4192F"/>
    <w:rsid w:val="00A636D6"/>
    <w:rsid w:val="00A661C9"/>
    <w:rsid w:val="00A73848"/>
    <w:rsid w:val="00A77651"/>
    <w:rsid w:val="00A9212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78AD"/>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6C8E"/>
    <w:rsid w:val="00DB55D3"/>
    <w:rsid w:val="00DC7740"/>
    <w:rsid w:val="00DD003D"/>
    <w:rsid w:val="00DD1591"/>
    <w:rsid w:val="00DD650C"/>
    <w:rsid w:val="00DD6934"/>
    <w:rsid w:val="00DD79A7"/>
    <w:rsid w:val="00DE4063"/>
    <w:rsid w:val="00DF75EC"/>
    <w:rsid w:val="00E00943"/>
    <w:rsid w:val="00E00D55"/>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9161EC"/>
    <w:rsid w:val="039747EC"/>
    <w:rsid w:val="03D519D9"/>
    <w:rsid w:val="04CA1F3B"/>
    <w:rsid w:val="05802E5B"/>
    <w:rsid w:val="05AE603A"/>
    <w:rsid w:val="06257452"/>
    <w:rsid w:val="07671900"/>
    <w:rsid w:val="076A2876"/>
    <w:rsid w:val="084D5872"/>
    <w:rsid w:val="089C0EC8"/>
    <w:rsid w:val="08DE64E4"/>
    <w:rsid w:val="09EE7503"/>
    <w:rsid w:val="0AD258FC"/>
    <w:rsid w:val="0BE03B54"/>
    <w:rsid w:val="0C5F38DA"/>
    <w:rsid w:val="0C6C1407"/>
    <w:rsid w:val="0DFB20C7"/>
    <w:rsid w:val="0E82776F"/>
    <w:rsid w:val="0F327753"/>
    <w:rsid w:val="0FD92E97"/>
    <w:rsid w:val="103A776A"/>
    <w:rsid w:val="105C5CF9"/>
    <w:rsid w:val="10912D8F"/>
    <w:rsid w:val="1103114A"/>
    <w:rsid w:val="12B13748"/>
    <w:rsid w:val="12E505B6"/>
    <w:rsid w:val="137E0A26"/>
    <w:rsid w:val="13F24266"/>
    <w:rsid w:val="146A1F3A"/>
    <w:rsid w:val="14B76A22"/>
    <w:rsid w:val="162A6ADF"/>
    <w:rsid w:val="163B66F3"/>
    <w:rsid w:val="17177F0F"/>
    <w:rsid w:val="17EC27C2"/>
    <w:rsid w:val="18D9356D"/>
    <w:rsid w:val="195E02C5"/>
    <w:rsid w:val="2098204C"/>
    <w:rsid w:val="219F73E9"/>
    <w:rsid w:val="23ED6DDA"/>
    <w:rsid w:val="24377036"/>
    <w:rsid w:val="247F2E5F"/>
    <w:rsid w:val="24A75BA4"/>
    <w:rsid w:val="25CA1572"/>
    <w:rsid w:val="269D1182"/>
    <w:rsid w:val="26FF1AD0"/>
    <w:rsid w:val="277F1892"/>
    <w:rsid w:val="27D33026"/>
    <w:rsid w:val="288F2AB3"/>
    <w:rsid w:val="29630102"/>
    <w:rsid w:val="2B166551"/>
    <w:rsid w:val="2B3709C7"/>
    <w:rsid w:val="2C4026EC"/>
    <w:rsid w:val="2F582B22"/>
    <w:rsid w:val="300024DB"/>
    <w:rsid w:val="30BE1012"/>
    <w:rsid w:val="31586F03"/>
    <w:rsid w:val="31841060"/>
    <w:rsid w:val="319419DA"/>
    <w:rsid w:val="31DF5876"/>
    <w:rsid w:val="32BE3117"/>
    <w:rsid w:val="331D3F5F"/>
    <w:rsid w:val="340D6EB4"/>
    <w:rsid w:val="349E7D1C"/>
    <w:rsid w:val="363C4C9A"/>
    <w:rsid w:val="37372B3A"/>
    <w:rsid w:val="3797709D"/>
    <w:rsid w:val="38D11993"/>
    <w:rsid w:val="3AA8154C"/>
    <w:rsid w:val="3B1F6EA9"/>
    <w:rsid w:val="3C8323A3"/>
    <w:rsid w:val="3C9013BB"/>
    <w:rsid w:val="3CAB5423"/>
    <w:rsid w:val="3F4A659F"/>
    <w:rsid w:val="3F86515D"/>
    <w:rsid w:val="42D00925"/>
    <w:rsid w:val="430B4F57"/>
    <w:rsid w:val="43435D45"/>
    <w:rsid w:val="43593417"/>
    <w:rsid w:val="446F6E72"/>
    <w:rsid w:val="45DB7C83"/>
    <w:rsid w:val="46337DA8"/>
    <w:rsid w:val="466A5E54"/>
    <w:rsid w:val="48C3749D"/>
    <w:rsid w:val="48F75F19"/>
    <w:rsid w:val="49B44A16"/>
    <w:rsid w:val="4A561A7B"/>
    <w:rsid w:val="4C9F7678"/>
    <w:rsid w:val="4D62639F"/>
    <w:rsid w:val="4DC3281F"/>
    <w:rsid w:val="4ECE00EA"/>
    <w:rsid w:val="4EEE5B99"/>
    <w:rsid w:val="50895B62"/>
    <w:rsid w:val="540C714E"/>
    <w:rsid w:val="56063569"/>
    <w:rsid w:val="5686688A"/>
    <w:rsid w:val="56F7788B"/>
    <w:rsid w:val="57CB6AFC"/>
    <w:rsid w:val="57CE0D82"/>
    <w:rsid w:val="5A176534"/>
    <w:rsid w:val="5B5A6A8D"/>
    <w:rsid w:val="5BF2135A"/>
    <w:rsid w:val="5C145E78"/>
    <w:rsid w:val="5C4E32DE"/>
    <w:rsid w:val="5D0A3972"/>
    <w:rsid w:val="5DE474C0"/>
    <w:rsid w:val="5E471CBA"/>
    <w:rsid w:val="5E6A35F5"/>
    <w:rsid w:val="5E7D0175"/>
    <w:rsid w:val="5ECE52DF"/>
    <w:rsid w:val="5F677FAF"/>
    <w:rsid w:val="60C21C4E"/>
    <w:rsid w:val="612F0FA9"/>
    <w:rsid w:val="613F3937"/>
    <w:rsid w:val="62184E60"/>
    <w:rsid w:val="62C364FD"/>
    <w:rsid w:val="643B5003"/>
    <w:rsid w:val="66D83921"/>
    <w:rsid w:val="67034ED6"/>
    <w:rsid w:val="6724232D"/>
    <w:rsid w:val="680177D3"/>
    <w:rsid w:val="682242EF"/>
    <w:rsid w:val="68450D5C"/>
    <w:rsid w:val="685B53A0"/>
    <w:rsid w:val="68B17086"/>
    <w:rsid w:val="690252BC"/>
    <w:rsid w:val="6A3E4CB9"/>
    <w:rsid w:val="6A794E9C"/>
    <w:rsid w:val="6B3810C6"/>
    <w:rsid w:val="6B490B16"/>
    <w:rsid w:val="6E5A59FF"/>
    <w:rsid w:val="6F162BAA"/>
    <w:rsid w:val="6FB22B86"/>
    <w:rsid w:val="6FC51DA5"/>
    <w:rsid w:val="708638E9"/>
    <w:rsid w:val="70A2603B"/>
    <w:rsid w:val="71593ABB"/>
    <w:rsid w:val="71C82853"/>
    <w:rsid w:val="7283309F"/>
    <w:rsid w:val="72DD73B1"/>
    <w:rsid w:val="73002A53"/>
    <w:rsid w:val="743931A6"/>
    <w:rsid w:val="748E4323"/>
    <w:rsid w:val="755A5A93"/>
    <w:rsid w:val="75AC110F"/>
    <w:rsid w:val="75EB42FB"/>
    <w:rsid w:val="760950C1"/>
    <w:rsid w:val="76125C50"/>
    <w:rsid w:val="76162824"/>
    <w:rsid w:val="76AF563D"/>
    <w:rsid w:val="76F2630C"/>
    <w:rsid w:val="774A0F23"/>
    <w:rsid w:val="775917B7"/>
    <w:rsid w:val="77B810F4"/>
    <w:rsid w:val="78AE609B"/>
    <w:rsid w:val="799B2014"/>
    <w:rsid w:val="799F1AA0"/>
    <w:rsid w:val="7A3E3374"/>
    <w:rsid w:val="7B1E4897"/>
    <w:rsid w:val="7B8B1D0A"/>
    <w:rsid w:val="7CA00D40"/>
    <w:rsid w:val="7CBE4B6F"/>
    <w:rsid w:val="7CFE2D31"/>
    <w:rsid w:val="7DA2276B"/>
    <w:rsid w:val="7DD47A87"/>
    <w:rsid w:val="7E9E0E9C"/>
    <w:rsid w:val="7F141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annotation text"/>
    <w:basedOn w:val="1"/>
    <w:link w:val="21"/>
    <w:unhideWhenUsed/>
    <w:qFormat/>
    <w:uiPriority w:val="99"/>
    <w:pPr>
      <w:jc w:val="left"/>
    </w:pPr>
  </w:style>
  <w:style w:type="paragraph" w:styleId="6">
    <w:name w:val="Body Text"/>
    <w:basedOn w:val="1"/>
    <w:qFormat/>
    <w:uiPriority w:val="1"/>
    <w:rPr>
      <w:rFonts w:ascii="宋体" w:hAnsi="宋体" w:eastAsia="宋体" w:cs="宋体"/>
      <w:sz w:val="24"/>
      <w:szCs w:val="24"/>
    </w:rPr>
  </w:style>
  <w:style w:type="paragraph" w:styleId="7">
    <w:name w:val="Balloon Text"/>
    <w:basedOn w:val="1"/>
    <w:link w:val="18"/>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2"/>
    <w:unhideWhenUsed/>
    <w:qFormat/>
    <w:uiPriority w:val="99"/>
    <w:rPr>
      <w:b/>
      <w:bCs/>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annotation reference"/>
    <w:basedOn w:val="13"/>
    <w:unhideWhenUsed/>
    <w:qFormat/>
    <w:uiPriority w:val="99"/>
    <w:rPr>
      <w:sz w:val="21"/>
      <w:szCs w:val="21"/>
    </w:rPr>
  </w:style>
  <w:style w:type="paragraph" w:customStyle="1" w:styleId="15">
    <w:name w:val="列出段落1"/>
    <w:basedOn w:val="1"/>
    <w:qFormat/>
    <w:uiPriority w:val="99"/>
    <w:pPr>
      <w:ind w:firstLine="420" w:firstLineChars="200"/>
      <w:jc w:val="left"/>
    </w:pPr>
    <w:rPr>
      <w:rFonts w:ascii="Times New Roman" w:hAnsi="Times New Roman" w:eastAsia="PMingLiU" w:cs="Times New Roman"/>
      <w:sz w:val="24"/>
      <w:szCs w:val="24"/>
      <w:lang w:eastAsia="zh-TW"/>
    </w:rPr>
  </w:style>
  <w:style w:type="character" w:customStyle="1" w:styleId="16">
    <w:name w:val="页眉 Char"/>
    <w:basedOn w:val="13"/>
    <w:link w:val="9"/>
    <w:qFormat/>
    <w:uiPriority w:val="99"/>
    <w:rPr>
      <w:sz w:val="18"/>
      <w:szCs w:val="18"/>
    </w:rPr>
  </w:style>
  <w:style w:type="character" w:customStyle="1" w:styleId="17">
    <w:name w:val="页脚 Char"/>
    <w:basedOn w:val="13"/>
    <w:link w:val="8"/>
    <w:qFormat/>
    <w:uiPriority w:val="99"/>
    <w:rPr>
      <w:sz w:val="18"/>
      <w:szCs w:val="18"/>
    </w:rPr>
  </w:style>
  <w:style w:type="character" w:customStyle="1" w:styleId="18">
    <w:name w:val="批注框文本 Char"/>
    <w:basedOn w:val="13"/>
    <w:link w:val="7"/>
    <w:semiHidden/>
    <w:qFormat/>
    <w:uiPriority w:val="99"/>
    <w:rPr>
      <w:sz w:val="18"/>
      <w:szCs w:val="18"/>
    </w:rPr>
  </w:style>
  <w:style w:type="character" w:customStyle="1" w:styleId="19">
    <w:name w:val="标题 1 Char"/>
    <w:basedOn w:val="13"/>
    <w:link w:val="2"/>
    <w:qFormat/>
    <w:uiPriority w:val="9"/>
    <w:rPr>
      <w:b/>
      <w:bCs/>
      <w:kern w:val="44"/>
      <w:sz w:val="44"/>
      <w:szCs w:val="44"/>
    </w:rPr>
  </w:style>
  <w:style w:type="character" w:customStyle="1" w:styleId="20">
    <w:name w:val="标题 2 Char"/>
    <w:basedOn w:val="13"/>
    <w:link w:val="3"/>
    <w:qFormat/>
    <w:uiPriority w:val="0"/>
    <w:rPr>
      <w:rFonts w:ascii="Arial" w:hAnsi="Arial" w:eastAsia="黑体" w:cs="Times New Roman"/>
      <w:b/>
      <w:bCs/>
      <w:sz w:val="32"/>
      <w:szCs w:val="32"/>
    </w:rPr>
  </w:style>
  <w:style w:type="character" w:customStyle="1" w:styleId="21">
    <w:name w:val="批注文字 Char"/>
    <w:basedOn w:val="13"/>
    <w:link w:val="5"/>
    <w:semiHidden/>
    <w:qFormat/>
    <w:uiPriority w:val="99"/>
  </w:style>
  <w:style w:type="character" w:customStyle="1" w:styleId="22">
    <w:name w:val="批注主题 Char"/>
    <w:basedOn w:val="21"/>
    <w:link w:val="10"/>
    <w:semiHidden/>
    <w:qFormat/>
    <w:uiPriority w:val="99"/>
    <w:rPr>
      <w:b/>
      <w:bCs/>
    </w:rPr>
  </w:style>
  <w:style w:type="paragraph" w:styleId="23">
    <w:name w:val="List Paragraph"/>
    <w:basedOn w:val="1"/>
    <w:qFormat/>
    <w:uiPriority w:val="99"/>
    <w:pPr>
      <w:ind w:firstLine="420" w:firstLineChars="200"/>
      <w:jc w:val="left"/>
    </w:pPr>
    <w:rPr>
      <w:rFonts w:ascii="Times New Roman" w:hAnsi="Times New Roman" w:eastAsia="PMingLiU" w:cs="Times New Roman"/>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83B2A-AA55-437B-9A72-3C557161D9CB}">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703</Words>
  <Characters>4009</Characters>
  <Lines>33</Lines>
  <Paragraphs>9</Paragraphs>
  <TotalTime>0</TotalTime>
  <ScaleCrop>false</ScaleCrop>
  <LinksUpToDate>false</LinksUpToDate>
  <CharactersWithSpaces>4703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2017-10-16T08:03:00Z</dcterms:created>
  <dc:creator>Henry.Tsai</dc:creator>
  <cp:lastModifiedBy>我是大哥不是小弟</cp:lastModifiedBy>
  <cp:lastPrinted>2012-08-24T05:40:00Z</cp:lastPrinted>
  <dcterms:modified xsi:type="dcterms:W3CDTF">2020-10-10T08:22:39Z</dcterms:modified>
  <dc:title>供应链服务协议</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