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hint="eastAsia"/>
          <w:color w:val="000000"/>
          <w:sz w:val="30"/>
          <w:szCs w:val="30"/>
          <w:lang w:val="en-US" w:eastAsia="zh-CN"/>
        </w:rPr>
      </w:pPr>
    </w:p>
    <w:p>
      <w:pPr>
        <w:pStyle w:val="2"/>
        <w:spacing w:line="240" w:lineRule="auto"/>
        <w:jc w:val="center"/>
        <w:rPr>
          <w:rFonts w:hint="eastAsia"/>
          <w:color w:val="000000"/>
          <w:sz w:val="52"/>
          <w:szCs w:val="52"/>
          <w:lang w:val="en-US" w:eastAsia="zh-CN"/>
        </w:rPr>
      </w:pPr>
      <w:r>
        <w:rPr>
          <w:rFonts w:hint="eastAsia"/>
          <w:color w:val="000000"/>
          <w:lang w:val="en-US" w:eastAsia="zh-CN"/>
        </w:rPr>
        <w:drawing>
          <wp:inline distT="0" distB="0" distL="114300" distR="114300">
            <wp:extent cx="4014470" cy="1016635"/>
            <wp:effectExtent l="0" t="0" r="0" b="0"/>
            <wp:docPr id="2" name="图片 2" descr="logo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_head"/>
                    <pic:cNvPicPr>
                      <a:picLocks noChangeAspect="1"/>
                    </pic:cNvPicPr>
                  </pic:nvPicPr>
                  <pic:blipFill>
                    <a:blip r:embed="rId8"/>
                    <a:stretch>
                      <a:fillRect/>
                    </a:stretch>
                  </pic:blipFill>
                  <pic:spPr>
                    <a:xfrm>
                      <a:off x="0" y="0"/>
                      <a:ext cx="4014470" cy="1016635"/>
                    </a:xfrm>
                    <a:prstGeom prst="rect">
                      <a:avLst/>
                    </a:prstGeom>
                  </pic:spPr>
                </pic:pic>
              </a:graphicData>
            </a:graphic>
          </wp:inline>
        </w:drawing>
      </w:r>
    </w:p>
    <w:p>
      <w:pPr>
        <w:pStyle w:val="2"/>
        <w:spacing w:line="240" w:lineRule="auto"/>
        <w:jc w:val="center"/>
        <w:rPr>
          <w:rFonts w:hint="eastAsia"/>
          <w:color w:val="000000"/>
          <w:sz w:val="52"/>
          <w:szCs w:val="52"/>
          <w:lang w:val="en-US" w:eastAsia="zh-CN"/>
        </w:rPr>
      </w:pPr>
      <w:r>
        <w:rPr>
          <w:rFonts w:hint="eastAsia" w:ascii="微软雅黑" w:hAnsi="微软雅黑" w:eastAsia="微软雅黑" w:cs="微软雅黑"/>
          <w:color w:val="000000"/>
          <w:sz w:val="52"/>
          <w:szCs w:val="52"/>
          <w:lang w:val="en-US" w:eastAsia="zh-CN"/>
        </w:rPr>
        <w:t>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hint="default" w:ascii="宋体" w:hAnsi="宋体" w:eastAsia="宋体" w:cs="宋体"/>
          <w:color w:val="000000"/>
          <w:sz w:val="28"/>
          <w:szCs w:val="28"/>
          <w:u w:val="single"/>
          <w:lang w:val="en-US" w:eastAsia="zh-CN"/>
        </w:rPr>
      </w:pPr>
      <w:r>
        <w:rPr>
          <w:rFonts w:hint="eastAsia" w:ascii="宋体" w:hAnsi="宋体" w:eastAsia="宋体" w:cs="宋体"/>
          <w:color w:val="000000"/>
          <w:sz w:val="28"/>
          <w:szCs w:val="28"/>
          <w:lang w:val="en-US" w:eastAsia="zh-CN"/>
        </w:rPr>
        <w:t>委 托 方：</w:t>
      </w:r>
      <w:r>
        <w:rPr>
          <w:rFonts w:hint="eastAsia" w:ascii="宋体" w:hAnsi="宋体" w:eastAsia="宋体" w:cs="宋体"/>
          <w:color w:val="000000"/>
          <w:sz w:val="28"/>
          <w:szCs w:val="28"/>
          <w:u w:val="single"/>
          <w:lang w:val="en-US" w:eastAsia="zh-CN"/>
        </w:rPr>
        <w:t xml:space="preserve"> {CompanyName}</w:t>
      </w:r>
      <w:r>
        <w:rPr>
          <w:rFonts w:hint="eastAsia" w:ascii="宋体" w:hAnsi="宋体" w:cs="宋体"/>
          <w:color w:val="000000"/>
          <w:sz w:val="28"/>
          <w:szCs w:val="28"/>
          <w:u w:val="single"/>
          <w:lang w:val="en-US" w:eastAsia="zh-CN"/>
        </w:rPr>
        <w:t xml:space="preserve"> </w:t>
      </w:r>
    </w:p>
    <w:p>
      <w:pPr>
        <w:ind w:leftChars="600"/>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受 托 方：</w:t>
      </w:r>
      <w:r>
        <w:rPr>
          <w:rFonts w:hint="eastAsia" w:ascii="宋体" w:hAnsi="宋体" w:eastAsia="宋体" w:cs="宋体"/>
          <w:color w:val="000000"/>
          <w:sz w:val="28"/>
          <w:szCs w:val="28"/>
          <w:u w:val="single"/>
          <w:lang w:val="en-US" w:eastAsia="zh-CN"/>
        </w:rPr>
        <w:t xml:space="preserve"> 深圳市华芯通供应链管理有限公司 </w:t>
      </w:r>
    </w:p>
    <w:p>
      <w:pPr>
        <w:ind w:leftChars="600"/>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协议编号：</w:t>
      </w:r>
      <w:r>
        <w:rPr>
          <w:rFonts w:hint="eastAsia" w:ascii="宋体" w:hAnsi="宋体" w:eastAsia="宋体" w:cs="宋体"/>
          <w:color w:val="000000"/>
          <w:sz w:val="28"/>
          <w:szCs w:val="28"/>
          <w:u w:val="single"/>
          <w:lang w:val="en-US" w:eastAsia="zh-CN"/>
        </w:rPr>
        <w:t xml:space="preserve"> {AgreementCode}    </w:t>
      </w:r>
      <w:r>
        <w:rPr>
          <w:rFonts w:hint="eastAsia" w:ascii="宋体" w:hAnsi="宋体" w:cs="宋体"/>
          <w:color w:val="000000"/>
          <w:sz w:val="28"/>
          <w:szCs w:val="28"/>
          <w:u w:val="single"/>
          <w:lang w:val="en-US" w:eastAsia="zh-CN"/>
        </w:rPr>
        <w:t xml:space="preserve"> </w:t>
      </w:r>
      <w:r>
        <w:rPr>
          <w:rFonts w:hint="eastAsia" w:ascii="宋体" w:hAnsi="宋体" w:eastAsia="宋体" w:cs="宋体"/>
          <w:color w:val="000000"/>
          <w:sz w:val="28"/>
          <w:szCs w:val="28"/>
          <w:u w:val="single"/>
          <w:lang w:val="en-US" w:eastAsia="zh-CN"/>
        </w:rPr>
        <w:t xml:space="preserve">            </w:t>
      </w:r>
    </w:p>
    <w:p>
      <w:pPr>
        <w:ind w:leftChars="600"/>
        <w:jc w:val="left"/>
        <w:rPr>
          <w:rFonts w:hint="default" w:ascii="宋体" w:hAnsi="宋体" w:eastAsia="宋体" w:cs="宋体"/>
          <w:color w:val="000000"/>
          <w:sz w:val="28"/>
          <w:szCs w:val="28"/>
          <w:u w:val="single"/>
          <w:lang w:val="en-US" w:eastAsia="zh-CN"/>
        </w:rPr>
      </w:pPr>
      <w:r>
        <w:rPr>
          <w:rFonts w:hint="eastAsia" w:ascii="宋体" w:hAnsi="宋体" w:eastAsia="宋体" w:cs="宋体"/>
          <w:color w:val="000000"/>
          <w:sz w:val="28"/>
          <w:szCs w:val="28"/>
          <w:lang w:val="en-US" w:eastAsia="zh-CN"/>
        </w:rPr>
        <w:t>签订日期：</w:t>
      </w:r>
      <w:r>
        <w:rPr>
          <w:rFonts w:hint="eastAsia" w:ascii="宋体" w:hAnsi="宋体" w:eastAsia="宋体" w:cs="宋体"/>
          <w:color w:val="000000"/>
          <w:sz w:val="28"/>
          <w:szCs w:val="28"/>
          <w:u w:val="single"/>
          <w:lang w:val="en-US" w:eastAsia="zh-CN"/>
        </w:rPr>
        <w:t xml:space="preserve"> {CreateTime}</w:t>
      </w:r>
      <w:r>
        <w:rPr>
          <w:rFonts w:hint="eastAsia" w:ascii="宋体" w:hAnsi="宋体" w:cs="宋体"/>
          <w:color w:val="000000"/>
          <w:sz w:val="28"/>
          <w:szCs w:val="28"/>
          <w:u w:val="single"/>
          <w:lang w:val="en-US" w:eastAsia="zh-CN"/>
        </w:rPr>
        <w:t xml:space="preserve"> </w:t>
      </w:r>
      <w:r>
        <w:rPr>
          <w:rFonts w:hint="eastAsia" w:ascii="宋体" w:hAnsi="宋体" w:eastAsia="宋体" w:cs="宋体"/>
          <w:color w:val="000000"/>
          <w:sz w:val="28"/>
          <w:szCs w:val="28"/>
          <w:u w:val="single"/>
          <w:lang w:val="en-US" w:eastAsia="zh-CN"/>
        </w:rPr>
        <w:t xml:space="preserve">             </w:t>
      </w:r>
    </w:p>
    <w:p>
      <w:pPr>
        <w:ind w:leftChars="600"/>
        <w:jc w:val="left"/>
        <w:rPr>
          <w:rFonts w:hint="default" w:ascii="宋体" w:hAnsi="宋体" w:eastAsia="宋体" w:cs="宋体"/>
          <w:color w:val="000000"/>
          <w:sz w:val="28"/>
          <w:szCs w:val="28"/>
          <w:u w:val="single"/>
          <w:lang w:val="en-US" w:eastAsia="zh-CN"/>
        </w:rPr>
      </w:pPr>
      <w:r>
        <w:rPr>
          <w:rFonts w:hint="eastAsia" w:ascii="宋体" w:hAnsi="宋体" w:cs="宋体"/>
          <w:color w:val="000000"/>
          <w:sz w:val="28"/>
          <w:szCs w:val="28"/>
          <w:u w:val="none"/>
          <w:lang w:val="en-US" w:eastAsia="zh-CN"/>
        </w:rPr>
        <w:t>签订地点：</w:t>
      </w:r>
      <w:r>
        <w:rPr>
          <w:rFonts w:hint="eastAsia" w:ascii="宋体" w:hAnsi="宋体" w:cs="宋体"/>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rPr>
          <w:rFonts w:hint="default"/>
          <w:color w:val="000000"/>
          <w:sz w:val="52"/>
          <w:szCs w:val="52"/>
          <w:lang w:val="en-US" w:eastAsia="zh-CN"/>
        </w:rPr>
        <w:sectPr>
          <w:pgSz w:w="11906" w:h="16838"/>
          <w:pgMar w:top="1440" w:right="1797" w:bottom="1559" w:left="1797" w:header="851" w:footer="720" w:gutter="0"/>
          <w:pgBorders>
            <w:top w:val="none" w:sz="0" w:space="0"/>
            <w:left w:val="none" w:sz="0" w:space="0"/>
            <w:bottom w:val="none" w:sz="0" w:space="0"/>
            <w:right w:val="none" w:sz="0" w:space="0"/>
          </w:pgBorders>
          <w:cols w:space="720" w:num="1"/>
          <w:docGrid w:type="lines" w:linePitch="312" w:charSpace="0"/>
        </w:sectPr>
      </w:pPr>
    </w:p>
    <w:p>
      <w:pPr>
        <w:pStyle w:val="2"/>
        <w:jc w:val="center"/>
        <w:rPr>
          <w:color w:val="000000"/>
        </w:rPr>
      </w:pPr>
      <w:r>
        <w:rPr>
          <w:rFonts w:hint="eastAsia"/>
          <w:color w:val="000000"/>
        </w:rPr>
        <w:t>供应链服务协议</w:t>
      </w:r>
    </w:p>
    <w:p>
      <w:pPr>
        <w:spacing w:line="340" w:lineRule="exact"/>
        <w:ind w:firstLine="480"/>
        <w:jc w:val="right"/>
        <w:rPr>
          <w:rFonts w:ascii="宋体" w:hAnsi="宋体"/>
          <w:color w:val="000000"/>
          <w:szCs w:val="21"/>
        </w:rPr>
      </w:pPr>
    </w:p>
    <w:p>
      <w:pPr>
        <w:spacing w:line="340" w:lineRule="exact"/>
        <w:ind w:firstLine="482"/>
        <w:rPr>
          <w:rFonts w:hint="default" w:ascii="宋体" w:hAnsi="宋体" w:eastAsia="宋体" w:cs="宋体"/>
          <w:b/>
          <w:color w:val="000000" w:themeColor="text1"/>
          <w:szCs w:val="21"/>
          <w:lang w:val="en-US" w:eastAsia="zh-CN"/>
          <w14:textFill>
            <w14:solidFill>
              <w14:schemeClr w14:val="tx1"/>
            </w14:solidFill>
          </w14:textFill>
        </w:rPr>
      </w:pPr>
      <w:r>
        <w:rPr>
          <w:rFonts w:hint="eastAsia" w:ascii="宋体" w:hAnsi="宋体" w:cs="宋体"/>
          <w:b/>
          <w:color w:val="000000"/>
          <w:szCs w:val="21"/>
        </w:rPr>
        <w:t>甲方（委托方）：{CompanyName}</w:t>
      </w:r>
    </w:p>
    <w:p>
      <w:pPr>
        <w:spacing w:line="340" w:lineRule="exact"/>
        <w:ind w:firstLine="482"/>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注册地址：{RegisteredAddress}</w:t>
      </w:r>
    </w:p>
    <w:p>
      <w:pPr>
        <w:spacing w:line="340" w:lineRule="exact"/>
        <w:ind w:left="1109" w:leftChars="228" w:hanging="630" w:hangingChars="300"/>
        <w:rPr>
          <w:rFonts w:ascii="宋体" w:hAnsi="宋体" w:cs="宋体"/>
          <w:color w:val="000000" w:themeColor="text1"/>
          <w:szCs w:val="21"/>
          <w14:textFill>
            <w14:solidFill>
              <w14:schemeClr w14:val="tx1"/>
            </w14:solidFill>
          </w14:textFill>
        </w:rPr>
      </w:pPr>
      <w:r>
        <w:rPr>
          <w:rFonts w:hint="eastAsia" w:ascii="宋体" w:hAnsi="宋体" w:cs="宋体"/>
          <w:color w:val="000000"/>
          <w:szCs w:val="21"/>
        </w:rPr>
        <w:t>法定代表人：{LegalPerson}</w:t>
      </w:r>
    </w:p>
    <w:p>
      <w:pPr>
        <w:spacing w:line="340" w:lineRule="exact"/>
        <w:ind w:firstLine="480"/>
        <w:rPr>
          <w:rFonts w:ascii="宋体" w:hAnsi="宋体" w:cs="宋体"/>
          <w:color w:val="000000"/>
          <w:szCs w:val="21"/>
        </w:rPr>
      </w:pPr>
    </w:p>
    <w:p>
      <w:pPr>
        <w:spacing w:line="340" w:lineRule="exact"/>
        <w:ind w:firstLine="482"/>
        <w:rPr>
          <w:rFonts w:ascii="宋体" w:hAnsi="宋体" w:cs="宋体"/>
          <w:b/>
          <w:color w:val="000000"/>
          <w:szCs w:val="21"/>
        </w:rPr>
      </w:pPr>
      <w:r>
        <w:rPr>
          <w:rFonts w:hint="eastAsia" w:ascii="宋体" w:hAnsi="宋体" w:cs="宋体"/>
          <w:b/>
          <w:color w:val="000000"/>
          <w:szCs w:val="21"/>
        </w:rPr>
        <w:t>乙方（受托方）：深圳市华芯通供应链管理有限公司</w:t>
      </w:r>
    </w:p>
    <w:p>
      <w:pPr>
        <w:spacing w:line="400" w:lineRule="exact"/>
        <w:ind w:firstLine="480"/>
        <w:rPr>
          <w:rFonts w:ascii="宋体" w:hAnsi="宋体" w:cs="宋体"/>
          <w:color w:val="000000"/>
          <w:szCs w:val="21"/>
        </w:rPr>
      </w:pPr>
      <w:r>
        <w:rPr>
          <w:rFonts w:hint="eastAsia" w:ascii="宋体" w:hAnsi="宋体" w:cs="宋体"/>
          <w:color w:val="000000"/>
          <w:szCs w:val="21"/>
        </w:rPr>
        <w:t>注册地址：深圳市龙华区龙华街道富康社区东环二路110号中执时代广场B栋16H</w:t>
      </w:r>
    </w:p>
    <w:p>
      <w:pPr>
        <w:spacing w:line="340" w:lineRule="exact"/>
        <w:ind w:firstLine="480"/>
        <w:rPr>
          <w:rFonts w:ascii="宋体" w:hAnsi="宋体" w:cs="宋体"/>
          <w:color w:val="000000"/>
          <w:szCs w:val="21"/>
        </w:rPr>
      </w:pPr>
      <w:r>
        <w:rPr>
          <w:rFonts w:hint="eastAsia" w:ascii="宋体" w:hAnsi="宋体" w:cs="宋体"/>
          <w:color w:val="000000"/>
          <w:szCs w:val="21"/>
        </w:rPr>
        <w:t>法定代表人：杜珂</w:t>
      </w:r>
    </w:p>
    <w:p>
      <w:pPr>
        <w:spacing w:line="340" w:lineRule="exact"/>
        <w:ind w:firstLine="480"/>
        <w:rPr>
          <w:rFonts w:ascii="宋体" w:hAnsi="宋体" w:cs="宋体"/>
          <w:color w:val="000000"/>
          <w:szCs w:val="21"/>
        </w:rPr>
      </w:pPr>
    </w:p>
    <w:p>
      <w:pPr>
        <w:widowControl/>
        <w:ind w:firstLine="420" w:firstLineChars="200"/>
        <w:jc w:val="left"/>
        <w:rPr>
          <w:rFonts w:ascii="宋体" w:hAnsi="宋体" w:cs="宋体"/>
          <w:color w:val="000000"/>
          <w:szCs w:val="21"/>
        </w:rPr>
      </w:pPr>
      <w:r>
        <w:rPr>
          <w:rFonts w:hint="eastAsia" w:ascii="宋体" w:hAnsi="宋体" w:cs="宋体"/>
          <w:color w:val="000000"/>
          <w:kern w:val="0"/>
          <w:szCs w:val="21"/>
        </w:rPr>
        <w:t>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line="340" w:lineRule="exact"/>
        <w:ind w:firstLine="420" w:firstLineChars="200"/>
        <w:rPr>
          <w:rFonts w:ascii="宋体" w:hAnsi="宋体" w:cs="宋体"/>
          <w:color w:val="000000"/>
          <w:szCs w:val="21"/>
        </w:rPr>
      </w:pPr>
    </w:p>
    <w:p>
      <w:pPr>
        <w:numPr>
          <w:ilvl w:val="0"/>
          <w:numId w:val="1"/>
        </w:numPr>
        <w:spacing w:beforeLines="50" w:afterLines="50"/>
        <w:outlineLvl w:val="0"/>
        <w:rPr>
          <w:rFonts w:ascii="宋体" w:hAnsi="宋体" w:cs="宋体"/>
          <w:b/>
          <w:szCs w:val="21"/>
        </w:rPr>
      </w:pPr>
      <w:r>
        <w:rPr>
          <w:rFonts w:hint="eastAsia" w:ascii="宋体" w:hAnsi="宋体" w:cs="宋体"/>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cs="宋体"/>
          <w:color w:val="000000"/>
          <w:kern w:val="0"/>
          <w:szCs w:val="21"/>
        </w:rPr>
      </w:pPr>
      <w:r>
        <w:rPr>
          <w:rFonts w:hint="eastAsia" w:ascii="宋体" w:hAnsi="宋体" w:cs="宋体"/>
          <w:color w:val="000000"/>
          <w:kern w:val="0"/>
          <w:szCs w:val="21"/>
          <w:lang w:val="en-US" w:eastAsia="zh-CN"/>
        </w:rPr>
        <w:t>1.1</w:t>
      </w:r>
      <w:r>
        <w:rPr>
          <w:rFonts w:hint="eastAsia" w:ascii="宋体" w:hAnsi="宋体" w:cs="宋体"/>
          <w:color w:val="000000"/>
          <w:kern w:val="0"/>
          <w:szCs w:val="21"/>
        </w:rPr>
        <w:t>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cs="宋体"/>
          <w:color w:val="000000"/>
          <w:kern w:val="0"/>
          <w:szCs w:val="21"/>
        </w:rPr>
      </w:pPr>
      <w:r>
        <w:rPr>
          <w:rFonts w:hint="eastAsia" w:ascii="宋体" w:hAnsi="宋体" w:cs="宋体"/>
          <w:color w:val="000000"/>
          <w:kern w:val="0"/>
          <w:szCs w:val="21"/>
        </w:rPr>
        <w:t>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cs="宋体"/>
          <w:color w:val="000000"/>
          <w:kern w:val="0"/>
          <w:szCs w:val="21"/>
        </w:rPr>
      </w:pPr>
      <w:r>
        <w:rPr>
          <w:rFonts w:hint="eastAsia" w:ascii="宋体" w:hAnsi="宋体" w:cs="宋体"/>
          <w:color w:val="000000"/>
          <w:kern w:val="0"/>
          <w:szCs w:val="21"/>
        </w:rPr>
        <w:t>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420" w:firstLineChars="200"/>
        <w:jc w:val="left"/>
        <w:rPr>
          <w:rFonts w:ascii="宋体" w:hAnsi="宋体" w:cs="宋体"/>
          <w:color w:val="000000"/>
          <w:kern w:val="0"/>
          <w:szCs w:val="21"/>
        </w:rPr>
      </w:pPr>
    </w:p>
    <w:p>
      <w:pPr>
        <w:numPr>
          <w:ilvl w:val="0"/>
          <w:numId w:val="2"/>
        </w:numPr>
        <w:tabs>
          <w:tab w:val="left" w:pos="840"/>
        </w:tabs>
        <w:spacing w:line="340" w:lineRule="exact"/>
        <w:rPr>
          <w:rFonts w:ascii="宋体" w:hAnsi="宋体" w:cs="宋体"/>
          <w:b/>
          <w:szCs w:val="21"/>
        </w:rPr>
      </w:pPr>
      <w:r>
        <w:rPr>
          <w:rFonts w:hint="eastAsia" w:ascii="宋体" w:hAnsi="宋体" w:cs="宋体"/>
          <w:b/>
          <w:szCs w:val="21"/>
        </w:rPr>
        <w:t>收费标准及付款方式</w:t>
      </w:r>
    </w:p>
    <w:p>
      <w:pPr>
        <w:spacing w:line="400" w:lineRule="exact"/>
        <w:ind w:firstLine="420" w:firstLineChars="200"/>
        <w:rPr>
          <w:rFonts w:ascii="宋体" w:hAnsi="宋体" w:cs="宋体"/>
          <w:szCs w:val="21"/>
        </w:rPr>
      </w:pPr>
      <w:r>
        <w:rPr>
          <w:rFonts w:hint="eastAsia" w:ascii="宋体" w:hAnsi="宋体" w:cs="宋体"/>
          <w:szCs w:val="21"/>
        </w:rPr>
        <w:t>2.1 收费标准：乙方代理本协议所涉业务应向甲方收取的全部应付款项详见附件一《收费标准及结算方式》。附件一为本协议不可缺少的组成部分，与本协议具有同等法律效力，传真件、扫描件及照片同等有效。</w:t>
      </w:r>
    </w:p>
    <w:p>
      <w:pPr>
        <w:spacing w:line="400" w:lineRule="exact"/>
        <w:ind w:firstLine="420" w:firstLineChars="200"/>
        <w:rPr>
          <w:rFonts w:ascii="宋体" w:hAnsi="宋体" w:cs="宋体"/>
          <w:szCs w:val="21"/>
        </w:rPr>
      </w:pPr>
      <w:r>
        <w:rPr>
          <w:rFonts w:hint="eastAsia" w:ascii="宋体" w:hAnsi="宋体" w:cs="宋体"/>
          <w:szCs w:val="21"/>
        </w:rPr>
        <w:t>2.2 订单结算按以下方式操作：</w:t>
      </w:r>
    </w:p>
    <w:p>
      <w:pPr>
        <w:spacing w:line="400" w:lineRule="exact"/>
        <w:ind w:firstLine="420" w:firstLineChars="200"/>
        <w:rPr>
          <w:rFonts w:ascii="宋体" w:hAnsi="宋体" w:cs="宋体"/>
          <w:szCs w:val="21"/>
        </w:rPr>
      </w:pPr>
      <w:r>
        <w:rPr>
          <w:rFonts w:hint="eastAsia" w:ascii="宋体" w:hAnsi="宋体" w:cs="宋体"/>
          <w:szCs w:val="21"/>
        </w:rPr>
        <w:t>2.2.1 乙方或乙方委托的第三方在境外接收货物时无需代甲方垫付货款，在货物进口报关过程中甲方付款期限如下：</w:t>
      </w:r>
    </w:p>
    <w:p>
      <w:pPr>
        <w:spacing w:line="400" w:lineRule="exact"/>
        <w:ind w:firstLine="420" w:firstLineChars="200"/>
        <w:rPr>
          <w:rFonts w:ascii="宋体" w:hAnsi="宋体" w:cs="宋体"/>
          <w:szCs w:val="21"/>
        </w:rPr>
      </w:pPr>
      <w:r>
        <w:rPr>
          <w:rFonts w:hint="eastAsia" w:ascii="宋体" w:hAnsi="宋体" w:cs="宋体"/>
          <w:szCs w:val="21"/>
        </w:rPr>
        <w:t>2.2.1.1 乙方未给予甲方信用额度，在每批货物报关前，甲方应将全部应付款支付给乙方；</w:t>
      </w:r>
    </w:p>
    <w:p>
      <w:pPr>
        <w:spacing w:line="400" w:lineRule="exact"/>
        <w:ind w:firstLine="420" w:firstLineChars="200"/>
        <w:rPr>
          <w:rFonts w:ascii="宋体" w:hAnsi="宋体" w:cs="宋体"/>
          <w:szCs w:val="21"/>
        </w:rPr>
      </w:pPr>
      <w:r>
        <w:rPr>
          <w:rFonts w:hint="eastAsia" w:ascii="宋体" w:hAnsi="宋体" w:cs="宋体"/>
          <w:szCs w:val="21"/>
        </w:rPr>
        <w:t>2.2.1.2 乙方给予甲方信用额度内并在约定付款期内，乙方安排报关，并先行送达货物给甲方，甲方应在约定付款期内将全部应付款支付给乙方。</w:t>
      </w:r>
    </w:p>
    <w:p>
      <w:pPr>
        <w:spacing w:line="400" w:lineRule="exact"/>
        <w:ind w:firstLine="420" w:firstLineChars="200"/>
        <w:rPr>
          <w:rFonts w:ascii="宋体" w:hAnsi="宋体" w:cs="宋体"/>
          <w:szCs w:val="21"/>
        </w:rPr>
      </w:pPr>
      <w:r>
        <w:rPr>
          <w:rFonts w:hint="eastAsia" w:ascii="宋体" w:hAnsi="宋体" w:cs="宋体"/>
          <w:szCs w:val="21"/>
        </w:rPr>
        <w:t>2.2.2 甲方需乙方或乙方委托的第三方预先垫付境外供应商货款的，除按约定支付应付款外，甲方另需支付资金利息。</w:t>
      </w:r>
    </w:p>
    <w:p>
      <w:pPr>
        <w:spacing w:line="400" w:lineRule="exact"/>
        <w:ind w:firstLine="420" w:firstLineChars="200"/>
        <w:rPr>
          <w:rFonts w:ascii="宋体" w:hAnsi="宋体" w:cs="宋体"/>
          <w:szCs w:val="21"/>
        </w:rPr>
      </w:pPr>
      <w:r>
        <w:rPr>
          <w:rFonts w:hint="eastAsia" w:ascii="宋体" w:hAnsi="宋体" w:cs="宋体"/>
          <w:szCs w:val="21"/>
        </w:rPr>
        <w:t>2.2.2.1 资金利息按乙方实际垫款金额、资金占用日利率（0.04%）及实际垫款天数计算。</w:t>
      </w:r>
    </w:p>
    <w:p>
      <w:pPr>
        <w:spacing w:line="400" w:lineRule="exact"/>
        <w:ind w:firstLine="420" w:firstLineChars="200"/>
        <w:rPr>
          <w:rFonts w:ascii="宋体" w:hAnsi="宋体" w:cs="宋体"/>
          <w:szCs w:val="21"/>
        </w:rPr>
      </w:pPr>
      <w:r>
        <w:rPr>
          <w:rFonts w:hint="eastAsia" w:ascii="宋体" w:hAnsi="宋体" w:cs="宋体"/>
          <w:szCs w:val="21"/>
        </w:rPr>
        <w:t>2.2.2.2 在本协议第2.2.2条的前提下，甲方指定境外供货商在乙方垫款后一个月仍未供货，甲方确认在前述期满次日一次性向乙方返还实际垫付货款及资金利息（详见第2.2.2.1条）。</w:t>
      </w:r>
    </w:p>
    <w:p>
      <w:pPr>
        <w:spacing w:line="400" w:lineRule="exact"/>
        <w:ind w:firstLine="420" w:firstLineChars="200"/>
        <w:rPr>
          <w:rFonts w:ascii="宋体" w:hAnsi="宋体" w:cs="宋体"/>
          <w:szCs w:val="21"/>
        </w:rPr>
      </w:pPr>
      <w:r>
        <w:rPr>
          <w:rFonts w:hint="eastAsia" w:ascii="宋体" w:hAnsi="宋体" w:cs="宋体"/>
          <w:szCs w:val="21"/>
        </w:rPr>
        <w:t>2.2.3 如乙方同意延长甲方付款期限，则甲方付款方式及期限按本协议附件一《收费标准及结算方式》执行。</w:t>
      </w:r>
    </w:p>
    <w:p>
      <w:pPr>
        <w:spacing w:line="400" w:lineRule="exact"/>
        <w:ind w:firstLine="420" w:firstLineChars="200"/>
        <w:rPr>
          <w:rFonts w:ascii="宋体" w:hAnsi="宋体" w:cs="宋体"/>
          <w:szCs w:val="21"/>
        </w:rPr>
      </w:pPr>
      <w:r>
        <w:rPr>
          <w:rFonts w:hint="eastAsia" w:ascii="宋体" w:hAnsi="宋体" w:cs="宋体"/>
          <w:szCs w:val="21"/>
        </w:rPr>
        <w:t>2.2.4 乙方给予甲方代垫货款或费用信用额度内并在约定付款期内，乙方安排报关，并先行送达货物给甲方，甲方应在约定付款期内将全部应付款支付给乙方。</w:t>
      </w:r>
    </w:p>
    <w:p>
      <w:pPr>
        <w:spacing w:line="400" w:lineRule="exact"/>
        <w:ind w:firstLine="420" w:firstLineChars="200"/>
        <w:rPr>
          <w:rFonts w:ascii="宋体" w:hAnsi="宋体" w:cs="宋体"/>
          <w:szCs w:val="21"/>
        </w:rPr>
      </w:pPr>
      <w:r>
        <w:rPr>
          <w:rFonts w:hint="eastAsia" w:ascii="宋体" w:hAnsi="宋体" w:cs="宋体"/>
          <w:szCs w:val="21"/>
        </w:rPr>
        <w:t>2.3 如甲方指定境外供货商同意延长甲方付款期限，即乙方或乙方委托的第三方在境外接收货物时无需代甲方支付货款，后乙方在收到甲方应付货款按约定向境外供货商付款。</w:t>
      </w:r>
    </w:p>
    <w:p>
      <w:pPr>
        <w:spacing w:line="400" w:lineRule="exact"/>
        <w:ind w:firstLine="420" w:firstLineChars="200"/>
        <w:rPr>
          <w:rFonts w:ascii="宋体" w:hAnsi="宋体" w:cs="宋体"/>
          <w:szCs w:val="21"/>
        </w:rPr>
      </w:pPr>
      <w:r>
        <w:rPr>
          <w:rFonts w:hint="eastAsia" w:ascii="宋体" w:hAnsi="宋体" w:cs="宋体"/>
          <w:szCs w:val="21"/>
        </w:rPr>
        <w:t>2.3.1 鉴于上述情况，在货物报关进口后180天，甲方仍未通过乙方支付境外货款，则每逾期一日甲方按未付款总额日千分之三支付违约金。</w:t>
      </w:r>
    </w:p>
    <w:p>
      <w:pPr>
        <w:spacing w:line="400" w:lineRule="exact"/>
        <w:ind w:firstLine="420" w:firstLineChars="200"/>
        <w:rPr>
          <w:rFonts w:ascii="宋体" w:hAnsi="宋体" w:cs="宋体"/>
          <w:szCs w:val="21"/>
        </w:rPr>
      </w:pPr>
      <w:r>
        <w:rPr>
          <w:rFonts w:hint="eastAsia" w:ascii="宋体" w:hAnsi="宋体" w:cs="宋体"/>
          <w:szCs w:val="21"/>
        </w:rPr>
        <w:t>2.3.2 甲方应在外管局要求的有效期内安排付汇，付汇手续费实结。</w:t>
      </w:r>
    </w:p>
    <w:p>
      <w:pPr>
        <w:spacing w:line="400" w:lineRule="exact"/>
        <w:ind w:firstLine="420" w:firstLineChars="200"/>
        <w:rPr>
          <w:rFonts w:ascii="宋体" w:hAnsi="宋体" w:cs="宋体"/>
          <w:szCs w:val="21"/>
        </w:rPr>
      </w:pPr>
      <w:r>
        <w:rPr>
          <w:rFonts w:hint="eastAsia" w:ascii="宋体" w:hAnsi="宋体" w:cs="宋体"/>
          <w:szCs w:val="21"/>
        </w:rPr>
        <w:t>2.4 乙方收取的服务费不含应由甲方承担的下列费用：补缴海关补征少计漏计的关税、增值税、消费税、补缴少计漏计税款滞纳金、罚金、罚款，及乙方支付、代付垫付境外货款银行手续费及其他不可预见的费用。</w:t>
      </w:r>
    </w:p>
    <w:p>
      <w:pPr>
        <w:spacing w:line="400" w:lineRule="exact"/>
        <w:ind w:firstLine="420" w:firstLineChars="200"/>
        <w:rPr>
          <w:rFonts w:ascii="宋体" w:hAnsi="宋体" w:cs="宋体"/>
          <w:szCs w:val="21"/>
        </w:rPr>
      </w:pPr>
      <w:r>
        <w:rPr>
          <w:rFonts w:hint="eastAsia" w:ascii="宋体" w:hAnsi="宋体" w:cs="宋体"/>
          <w:szCs w:val="21"/>
        </w:rPr>
        <w:t>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line="340" w:lineRule="exact"/>
        <w:ind w:firstLine="420" w:firstLineChars="200"/>
        <w:rPr>
          <w:rFonts w:ascii="宋体" w:hAnsi="宋体" w:cs="宋体"/>
          <w:szCs w:val="21"/>
        </w:rPr>
      </w:pPr>
      <w:r>
        <w:rPr>
          <w:rFonts w:hint="eastAsia" w:ascii="宋体" w:hAnsi="宋体" w:cs="宋体"/>
          <w:szCs w:val="21"/>
        </w:rPr>
        <w:t>2.6 乙方按约定给甲方开具发票。</w:t>
      </w:r>
    </w:p>
    <w:p>
      <w:pPr>
        <w:tabs>
          <w:tab w:val="left" w:pos="840"/>
        </w:tabs>
        <w:spacing w:line="340" w:lineRule="exact"/>
        <w:rPr>
          <w:rFonts w:ascii="宋体" w:hAnsi="宋体" w:cs="宋体"/>
          <w:b/>
          <w:color w:val="000000"/>
          <w:szCs w:val="21"/>
        </w:rPr>
      </w:pPr>
    </w:p>
    <w:p>
      <w:pPr>
        <w:numPr>
          <w:ilvl w:val="0"/>
          <w:numId w:val="2"/>
        </w:numPr>
        <w:tabs>
          <w:tab w:val="left" w:pos="840"/>
        </w:tabs>
        <w:spacing w:line="340" w:lineRule="exact"/>
        <w:rPr>
          <w:rFonts w:ascii="宋体" w:hAnsi="宋体" w:cs="宋体"/>
          <w:b/>
          <w:szCs w:val="21"/>
        </w:rPr>
      </w:pPr>
      <w:r>
        <w:rPr>
          <w:rFonts w:hint="eastAsia" w:ascii="宋体" w:hAnsi="宋体" w:cs="宋体"/>
          <w:b/>
          <w:szCs w:val="21"/>
        </w:rPr>
        <w:t>甲乙双方的权利义务</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3.2甲方应按照本协议第二条的约定，及时将购买货物所需的全部货款、代理费及委托乙方代为支付的各项费用付至乙方帐户。</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3.4 乙方按照甲方确认的《委托进口货物确认单》内容代甲方办理货物的进口报关手续。</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kern w:val="0"/>
          <w:szCs w:val="21"/>
        </w:rPr>
        <w:t>3.7 HONGKONG</w:t>
      </w:r>
      <w:r>
        <w:rPr>
          <w:rFonts w:hint="eastAsia" w:ascii="宋体" w:hAnsi="宋体" w:cs="宋体"/>
          <w:kern w:val="0"/>
          <w:szCs w:val="21"/>
          <w:lang w:val="en-US" w:eastAsia="zh-CN"/>
        </w:rPr>
        <w:t xml:space="preserve"> </w:t>
      </w:r>
      <w:r>
        <w:rPr>
          <w:rFonts w:hint="eastAsia" w:ascii="宋体" w:hAnsi="宋体" w:cs="宋体"/>
          <w:kern w:val="0"/>
          <w:szCs w:val="21"/>
        </w:rPr>
        <w:t>EXPRESS</w:t>
      </w:r>
      <w:r>
        <w:rPr>
          <w:rFonts w:hint="eastAsia" w:ascii="宋体" w:hAnsi="宋体" w:cs="宋体"/>
          <w:kern w:val="0"/>
          <w:szCs w:val="21"/>
          <w:lang w:val="en-US" w:eastAsia="zh-CN"/>
        </w:rPr>
        <w:t xml:space="preserve"> </w:t>
      </w:r>
      <w:r>
        <w:rPr>
          <w:rFonts w:hint="eastAsia" w:ascii="宋体" w:hAnsi="宋体" w:cs="宋体"/>
          <w:kern w:val="0"/>
          <w:szCs w:val="21"/>
        </w:rPr>
        <w:t>INTERNATIONAL</w:t>
      </w:r>
      <w:r>
        <w:rPr>
          <w:rFonts w:hint="eastAsia" w:ascii="宋体" w:hAnsi="宋体" w:cs="宋体"/>
          <w:kern w:val="0"/>
          <w:szCs w:val="21"/>
          <w:lang w:val="en-US" w:eastAsia="zh-CN"/>
        </w:rPr>
        <w:t xml:space="preserve"> </w:t>
      </w:r>
      <w:r>
        <w:rPr>
          <w:rFonts w:hint="eastAsia" w:ascii="宋体" w:hAnsi="宋体" w:cs="宋体"/>
          <w:kern w:val="0"/>
          <w:szCs w:val="21"/>
        </w:rPr>
        <w:t>LOGISTICS</w:t>
      </w:r>
      <w:r>
        <w:rPr>
          <w:rFonts w:hint="eastAsia" w:ascii="宋体" w:hAnsi="宋体" w:cs="宋体"/>
          <w:kern w:val="0"/>
          <w:szCs w:val="21"/>
          <w:lang w:val="en-US" w:eastAsia="zh-CN"/>
        </w:rPr>
        <w:t xml:space="preserve"> </w:t>
      </w:r>
      <w:r>
        <w:rPr>
          <w:rFonts w:hint="eastAsia" w:ascii="宋体" w:hAnsi="宋体" w:cs="宋体"/>
          <w:kern w:val="0"/>
          <w:szCs w:val="21"/>
        </w:rPr>
        <w:t>LIMITED</w:t>
      </w:r>
      <w:r>
        <w:rPr>
          <w:rFonts w:hint="eastAsia" w:ascii="宋体" w:hAnsi="宋体" w:cs="宋体"/>
          <w:kern w:val="0"/>
          <w:szCs w:val="21"/>
        </w:rPr>
        <w:tab/>
      </w:r>
      <w:r>
        <w:rPr>
          <w:rFonts w:hint="eastAsia" w:ascii="宋体" w:hAnsi="宋体" w:cs="宋体"/>
          <w:kern w:val="0"/>
          <w:szCs w:val="21"/>
        </w:rPr>
        <w:t xml:space="preserve">      </w:t>
      </w:r>
      <w:r>
        <w:rPr>
          <w:rFonts w:hint="eastAsia" w:ascii="宋体" w:hAnsi="宋体" w:cs="宋体"/>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3.8 乙方提供的本条约定的供应链服务，乙方有权分包给其它第三方。</w:t>
      </w:r>
    </w:p>
    <w:p>
      <w:pPr>
        <w:tabs>
          <w:tab w:val="left" w:pos="1080"/>
        </w:tabs>
        <w:spacing w:line="340" w:lineRule="exact"/>
        <w:ind w:firstLine="420" w:firstLineChars="200"/>
        <w:rPr>
          <w:rFonts w:ascii="宋体" w:hAnsi="宋体" w:cs="宋体"/>
          <w:color w:val="000000"/>
          <w:szCs w:val="21"/>
        </w:rPr>
      </w:pPr>
    </w:p>
    <w:p>
      <w:pPr>
        <w:tabs>
          <w:tab w:val="left" w:pos="840"/>
        </w:tabs>
        <w:spacing w:line="340" w:lineRule="exact"/>
        <w:rPr>
          <w:rFonts w:ascii="宋体" w:hAnsi="宋体" w:cs="宋体"/>
          <w:b/>
          <w:color w:val="000000"/>
          <w:szCs w:val="21"/>
        </w:rPr>
      </w:pPr>
      <w:r>
        <w:rPr>
          <w:rFonts w:hint="eastAsia" w:ascii="宋体" w:hAnsi="宋体" w:cs="宋体"/>
          <w:b/>
          <w:color w:val="000000"/>
          <w:szCs w:val="21"/>
        </w:rPr>
        <w:t>第四条 货物交付、验收以及风险承担</w:t>
      </w:r>
    </w:p>
    <w:p>
      <w:pPr>
        <w:spacing w:line="340" w:lineRule="exact"/>
        <w:ind w:firstLine="420" w:firstLineChars="200"/>
        <w:rPr>
          <w:rFonts w:ascii="宋体" w:hAnsi="宋体" w:cs="宋体"/>
          <w:color w:val="000000"/>
          <w:szCs w:val="21"/>
        </w:rPr>
      </w:pPr>
      <w:r>
        <w:rPr>
          <w:rFonts w:hint="eastAsia" w:ascii="宋体" w:hAnsi="宋体" w:cs="宋体"/>
          <w:color w:val="000000"/>
          <w:szCs w:val="21"/>
        </w:rPr>
        <w:t>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line="340" w:lineRule="exact"/>
        <w:ind w:firstLine="420" w:firstLineChars="200"/>
        <w:rPr>
          <w:rFonts w:ascii="宋体" w:hAnsi="宋体" w:cs="宋体"/>
          <w:color w:val="000000"/>
          <w:szCs w:val="21"/>
        </w:rPr>
      </w:pPr>
      <w:r>
        <w:rPr>
          <w:rFonts w:hint="eastAsia" w:ascii="宋体" w:hAnsi="宋体" w:cs="宋体"/>
          <w:color w:val="000000"/>
          <w:szCs w:val="21"/>
        </w:rPr>
        <w:t>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line="340" w:lineRule="exact"/>
        <w:ind w:firstLine="420" w:firstLineChars="200"/>
        <w:rPr>
          <w:rFonts w:ascii="宋体" w:hAnsi="宋体" w:cs="宋体"/>
          <w:color w:val="000000"/>
          <w:szCs w:val="21"/>
        </w:rPr>
      </w:pPr>
      <w:r>
        <w:rPr>
          <w:rFonts w:hint="eastAsia" w:ascii="宋体" w:hAnsi="宋体" w:cs="宋体"/>
          <w:color w:val="000000"/>
          <w:szCs w:val="21"/>
        </w:rPr>
        <w:t>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line="340" w:lineRule="exact"/>
        <w:ind w:firstLine="420" w:firstLineChars="200"/>
        <w:rPr>
          <w:rFonts w:ascii="宋体" w:hAnsi="宋体" w:cs="宋体"/>
          <w:color w:val="000000"/>
          <w:szCs w:val="21"/>
        </w:rPr>
      </w:pPr>
      <w:r>
        <w:rPr>
          <w:rFonts w:hint="eastAsia" w:ascii="宋体" w:hAnsi="宋体" w:cs="宋体"/>
          <w:color w:val="000000"/>
          <w:szCs w:val="21"/>
        </w:rPr>
        <w:t>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line="340" w:lineRule="exact"/>
        <w:ind w:firstLine="420" w:firstLineChars="200"/>
        <w:rPr>
          <w:rFonts w:ascii="宋体" w:hAnsi="宋体" w:cs="宋体"/>
          <w:color w:val="000000"/>
          <w:szCs w:val="21"/>
        </w:rPr>
      </w:pPr>
    </w:p>
    <w:p>
      <w:pPr>
        <w:tabs>
          <w:tab w:val="left" w:pos="840"/>
        </w:tabs>
        <w:spacing w:line="340" w:lineRule="exact"/>
        <w:rPr>
          <w:rFonts w:ascii="宋体" w:hAnsi="宋体" w:cs="宋体"/>
          <w:b/>
          <w:color w:val="000000"/>
          <w:szCs w:val="21"/>
        </w:rPr>
      </w:pPr>
      <w:r>
        <w:rPr>
          <w:rFonts w:hint="eastAsia" w:ascii="宋体" w:hAnsi="宋体" w:cs="宋体"/>
          <w:b/>
          <w:color w:val="000000"/>
          <w:szCs w:val="21"/>
        </w:rPr>
        <w:t>第五条 违约责任</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5.2 在甲方按照本合同第二条的规定支付全部款项前，乙方有权留置代理甲方进口的货物。若甲方迟延付款超过30日，乙方有权变卖留置的货物，并就变卖后的价款优先受偿。</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line="340" w:lineRule="exact"/>
        <w:ind w:firstLine="420" w:firstLineChars="200"/>
        <w:rPr>
          <w:rFonts w:ascii="宋体" w:hAnsi="宋体" w:cs="宋体"/>
          <w:color w:val="000000"/>
          <w:szCs w:val="21"/>
        </w:rPr>
      </w:pPr>
    </w:p>
    <w:p>
      <w:pPr>
        <w:tabs>
          <w:tab w:val="left" w:pos="840"/>
        </w:tabs>
        <w:spacing w:line="340" w:lineRule="exact"/>
        <w:rPr>
          <w:rFonts w:ascii="宋体" w:hAnsi="宋体" w:cs="宋体"/>
          <w:b/>
          <w:color w:val="000000"/>
          <w:szCs w:val="21"/>
        </w:rPr>
      </w:pPr>
      <w:r>
        <w:rPr>
          <w:rFonts w:hint="eastAsia" w:ascii="宋体" w:hAnsi="宋体" w:cs="宋体"/>
          <w:b/>
          <w:color w:val="000000"/>
          <w:szCs w:val="21"/>
        </w:rPr>
        <w:t>第六条 保密条款</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line="340" w:lineRule="exact"/>
        <w:ind w:firstLine="420" w:firstLineChars="200"/>
        <w:rPr>
          <w:rFonts w:ascii="宋体" w:hAnsi="宋体" w:cs="宋体"/>
          <w:color w:val="000000"/>
          <w:szCs w:val="21"/>
        </w:rPr>
      </w:pPr>
    </w:p>
    <w:p>
      <w:pPr>
        <w:tabs>
          <w:tab w:val="left" w:pos="840"/>
        </w:tabs>
        <w:spacing w:line="340" w:lineRule="exact"/>
        <w:rPr>
          <w:rFonts w:ascii="宋体" w:hAnsi="宋体" w:cs="宋体"/>
          <w:b/>
          <w:color w:val="000000"/>
          <w:szCs w:val="21"/>
        </w:rPr>
      </w:pPr>
      <w:r>
        <w:rPr>
          <w:rFonts w:hint="eastAsia" w:ascii="宋体" w:hAnsi="宋体" w:cs="宋体"/>
          <w:b/>
          <w:color w:val="000000"/>
          <w:szCs w:val="21"/>
        </w:rPr>
        <w:t>第七条 争议的解决</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7.2 甲乙双方同意，在执行本协议过程中所发生的纠纷应首先通过友好协商解决；协商不成的，任何一方均可向协议签订地人民法院提请诉讼，本协议适用中华人民共和国法律。</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line="340" w:lineRule="exact"/>
        <w:ind w:firstLine="420" w:firstLineChars="200"/>
        <w:rPr>
          <w:rFonts w:ascii="宋体" w:hAnsi="宋体" w:cs="宋体"/>
          <w:color w:val="000000"/>
          <w:szCs w:val="21"/>
        </w:rPr>
      </w:pPr>
    </w:p>
    <w:p>
      <w:pPr>
        <w:tabs>
          <w:tab w:val="left" w:pos="840"/>
        </w:tabs>
        <w:spacing w:line="340" w:lineRule="exact"/>
        <w:rPr>
          <w:rFonts w:ascii="宋体" w:hAnsi="宋体" w:cs="宋体"/>
          <w:b/>
          <w:color w:val="000000"/>
          <w:szCs w:val="21"/>
        </w:rPr>
      </w:pPr>
      <w:r>
        <w:rPr>
          <w:rFonts w:hint="eastAsia" w:ascii="宋体" w:hAnsi="宋体" w:cs="宋体"/>
          <w:b/>
          <w:color w:val="000000"/>
          <w:szCs w:val="21"/>
        </w:rPr>
        <w:t>第八条 其他约定</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8.1 本协议有效期自{AgreementStartDate}起至{AgreementEndDate}止，为期【{Years}】年。本协议到期前，如甲乙双方未解约或重新签订，则本协议自动无限期顺延。若合同变更，则双方签署《补充协议》为主合同的有效附件，具有同等法律地位。</w:t>
      </w:r>
    </w:p>
    <w:p>
      <w:pPr>
        <w:widowControl/>
        <w:ind w:firstLine="420" w:firstLineChars="200"/>
        <w:jc w:val="left"/>
        <w:rPr>
          <w:rFonts w:ascii="宋体" w:hAnsi="宋体" w:cs="宋体"/>
          <w:color w:val="000000"/>
          <w:kern w:val="0"/>
          <w:szCs w:val="21"/>
        </w:rPr>
      </w:pPr>
      <w:r>
        <w:rPr>
          <w:rFonts w:hint="eastAsia" w:ascii="宋体" w:hAnsi="宋体" w:cs="宋体"/>
          <w:color w:val="000000"/>
          <w:kern w:val="0"/>
          <w:szCs w:val="21"/>
        </w:rPr>
        <w:t>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420" w:firstLineChars="200"/>
        <w:jc w:val="left"/>
        <w:rPr>
          <w:rFonts w:ascii="宋体" w:hAnsi="宋体" w:cs="宋体"/>
          <w:color w:val="000000"/>
          <w:kern w:val="0"/>
          <w:szCs w:val="21"/>
        </w:rPr>
      </w:pPr>
      <w:r>
        <w:rPr>
          <w:rFonts w:hint="eastAsia" w:ascii="宋体" w:hAnsi="宋体" w:cs="宋体"/>
          <w:color w:val="000000"/>
          <w:szCs w:val="21"/>
        </w:rPr>
        <w:t>8.3 本协议签署地：深圳。</w:t>
      </w:r>
    </w:p>
    <w:p>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8.4本协议一式两份，甲乙双方各持一份，具有同等法律效力。本协议由双方加盖公章（或合同专用章）后生效。</w:t>
      </w:r>
    </w:p>
    <w:p>
      <w:pPr>
        <w:tabs>
          <w:tab w:val="left" w:pos="1080"/>
        </w:tabs>
        <w:spacing w:line="340" w:lineRule="exact"/>
        <w:ind w:left="567"/>
        <w:rPr>
          <w:rFonts w:ascii="宋体" w:hAnsi="宋体" w:cs="宋体"/>
          <w:color w:val="000000"/>
          <w:szCs w:val="21"/>
        </w:rPr>
      </w:pPr>
    </w:p>
    <w:p>
      <w:pPr>
        <w:spacing w:line="340" w:lineRule="exact"/>
        <w:rPr>
          <w:rFonts w:ascii="宋体" w:hAnsi="宋体"/>
          <w:b/>
          <w:color w:val="000000"/>
          <w:szCs w:val="21"/>
        </w:rPr>
      </w:pPr>
    </w:p>
    <w:p>
      <w:pPr>
        <w:spacing w:line="340" w:lineRule="exact"/>
        <w:rPr>
          <w:rFonts w:ascii="宋体" w:hAnsi="宋体"/>
          <w:b/>
          <w:color w:val="000000"/>
          <w:szCs w:val="21"/>
        </w:rPr>
      </w:pPr>
    </w:p>
    <w:p>
      <w:pPr>
        <w:spacing w:line="340" w:lineRule="exact"/>
        <w:rPr>
          <w:rFonts w:ascii="宋体" w:hAnsi="宋体"/>
          <w:b/>
          <w:color w:val="000000"/>
          <w:szCs w:val="21"/>
        </w:rPr>
      </w:pPr>
    </w:p>
    <w:p>
      <w:pPr>
        <w:spacing w:line="340" w:lineRule="exact"/>
        <w:rPr>
          <w:rFonts w:ascii="宋体" w:hAnsi="宋体"/>
          <w:b/>
          <w:color w:val="000000"/>
          <w:szCs w:val="21"/>
        </w:rPr>
      </w:pPr>
    </w:p>
    <w:p>
      <w:pPr>
        <w:spacing w:line="340" w:lineRule="exact"/>
        <w:rPr>
          <w:rFonts w:ascii="宋体" w:hAnsi="宋体"/>
          <w:b/>
          <w:bCs/>
          <w:color w:val="000000"/>
          <w:szCs w:val="21"/>
        </w:rPr>
      </w:pPr>
      <w:r>
        <w:rPr>
          <w:rFonts w:hint="eastAsia" w:ascii="宋体" w:hAnsi="宋体"/>
          <w:b/>
          <w:color w:val="000000"/>
          <w:szCs w:val="21"/>
        </w:rPr>
        <w:t>附件</w:t>
      </w:r>
      <w:r>
        <w:rPr>
          <w:rFonts w:ascii="宋体" w:hAnsi="宋体"/>
          <w:b/>
          <w:color w:val="000000"/>
          <w:szCs w:val="21"/>
        </w:rPr>
        <w:t>1</w:t>
      </w:r>
      <w:r>
        <w:rPr>
          <w:rFonts w:hint="eastAsia" w:ascii="宋体" w:hAnsi="宋体"/>
          <w:b/>
          <w:color w:val="000000"/>
          <w:szCs w:val="21"/>
        </w:rPr>
        <w:t>：</w:t>
      </w:r>
      <w:r>
        <w:rPr>
          <w:rFonts w:hint="eastAsia"/>
          <w:b/>
          <w:bCs/>
        </w:rPr>
        <w:t>收费标准及结算方式</w:t>
      </w:r>
    </w:p>
    <w:p>
      <w:pPr>
        <w:spacing w:line="340" w:lineRule="exact"/>
        <w:rPr>
          <w:rFonts w:ascii="宋体" w:hAnsi="宋体"/>
          <w:b/>
          <w:color w:val="000000"/>
          <w:szCs w:val="21"/>
        </w:rPr>
      </w:pPr>
      <w:r>
        <w:rPr>
          <w:rFonts w:hint="eastAsia" w:ascii="宋体" w:hAnsi="宋体"/>
          <w:b/>
          <w:bCs/>
          <w:color w:val="000000"/>
          <w:szCs w:val="21"/>
        </w:rPr>
        <w:t>附件2：授权书</w:t>
      </w:r>
    </w:p>
    <w:p>
      <w:pPr>
        <w:spacing w:line="340" w:lineRule="exact"/>
        <w:rPr>
          <w:rFonts w:ascii="宋体" w:hAnsi="宋体"/>
          <w:b/>
          <w:color w:val="000000"/>
          <w:szCs w:val="21"/>
        </w:rPr>
      </w:pPr>
      <w:r>
        <w:rPr>
          <w:rFonts w:hint="eastAsia" w:ascii="宋体" w:hAnsi="宋体"/>
          <w:b/>
          <w:color w:val="000000"/>
          <w:szCs w:val="21"/>
        </w:rPr>
        <w:t>附件</w:t>
      </w:r>
      <w:r>
        <w:rPr>
          <w:rFonts w:hint="eastAsia" w:ascii="宋体" w:hAnsi="宋体"/>
          <w:b/>
          <w:color w:val="000000"/>
          <w:szCs w:val="21"/>
          <w:lang w:val="en-US" w:eastAsia="zh-CN"/>
        </w:rPr>
        <w:t>3</w:t>
      </w:r>
      <w:r>
        <w:rPr>
          <w:rFonts w:hint="eastAsia" w:ascii="宋体" w:hAnsi="宋体"/>
          <w:b/>
          <w:color w:val="000000"/>
          <w:szCs w:val="21"/>
        </w:rPr>
        <w:t>：商业合作伙伴贸易安全协议书</w:t>
      </w:r>
    </w:p>
    <w:p>
      <w:pPr>
        <w:spacing w:line="340" w:lineRule="exact"/>
        <w:rPr>
          <w:rFonts w:ascii="宋体" w:hAnsi="宋体"/>
          <w:b/>
          <w:color w:val="000000"/>
          <w:szCs w:val="21"/>
        </w:rPr>
      </w:pPr>
    </w:p>
    <w:p>
      <w:pPr>
        <w:spacing w:line="340" w:lineRule="exact"/>
        <w:rPr>
          <w:rFonts w:ascii="宋体" w:hAnsi="宋体"/>
          <w:b/>
          <w:color w:val="000000"/>
          <w:szCs w:val="21"/>
        </w:rPr>
      </w:pPr>
    </w:p>
    <w:p>
      <w:pPr>
        <w:spacing w:line="340" w:lineRule="exact"/>
        <w:rPr>
          <w:rFonts w:ascii="宋体" w:hAnsi="宋体"/>
          <w:b/>
          <w:color w:val="000000"/>
          <w:szCs w:val="21"/>
        </w:rPr>
      </w:pPr>
    </w:p>
    <w:p>
      <w:pPr>
        <w:spacing w:line="340" w:lineRule="exact"/>
        <w:rPr>
          <w:rFonts w:ascii="宋体" w:hAnsi="宋体"/>
          <w:b/>
          <w:color w:val="000000"/>
          <w:szCs w:val="21"/>
        </w:rPr>
      </w:pPr>
      <w:r>
        <w:rPr>
          <w:rFonts w:hint="eastAsia" w:ascii="宋体" w:hAnsi="宋体"/>
          <w:b/>
          <w:color w:val="000000"/>
          <w:szCs w:val="21"/>
        </w:rPr>
        <w:t>甲方：{CompanyName}</w:t>
      </w:r>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rPr>
          <w:rFonts w:ascii="宋体" w:hAnsi="宋体"/>
          <w:color w:val="000000"/>
          <w:szCs w:val="21"/>
        </w:rPr>
      </w:pPr>
      <w:r>
        <w:rPr>
          <w:rFonts w:hint="eastAsia" w:ascii="宋体" w:hAnsi="宋体"/>
          <w:color w:val="000000"/>
          <w:szCs w:val="21"/>
        </w:rPr>
        <w:t>签约日期：</w:t>
      </w:r>
    </w:p>
    <w:p>
      <w:pPr>
        <w:spacing w:line="340" w:lineRule="exact"/>
        <w:rPr>
          <w:rFonts w:ascii="宋体" w:hAnsi="宋体"/>
          <w:b/>
          <w:color w:val="000000"/>
          <w:szCs w:val="21"/>
        </w:rPr>
      </w:pPr>
      <w:r>
        <w:rPr>
          <w:rFonts w:ascii="宋体" w:hAnsi="宋体"/>
          <w:b/>
          <w:color w:val="000000"/>
          <w:szCs w:val="21"/>
        </w:rPr>
        <w:t xml:space="preserve"> </w:t>
      </w:r>
    </w:p>
    <w:p>
      <w:pPr>
        <w:spacing w:line="340" w:lineRule="exact"/>
        <w:rPr>
          <w:rFonts w:ascii="宋体" w:hAnsi="宋体"/>
          <w:b/>
          <w:color w:val="000000"/>
          <w:szCs w:val="21"/>
        </w:rPr>
      </w:pPr>
    </w:p>
    <w:p>
      <w:pPr>
        <w:spacing w:line="340" w:lineRule="exact"/>
        <w:rPr>
          <w:rFonts w:ascii="宋体" w:hAnsi="宋体"/>
          <w:b/>
          <w:color w:val="000000"/>
          <w:szCs w:val="21"/>
        </w:rPr>
      </w:pPr>
    </w:p>
    <w:p>
      <w:pPr>
        <w:spacing w:line="340" w:lineRule="exact"/>
        <w:rPr>
          <w:rFonts w:ascii="宋体" w:hAnsi="宋体"/>
          <w:b/>
          <w:color w:val="000000"/>
          <w:szCs w:val="21"/>
        </w:rPr>
      </w:pPr>
    </w:p>
    <w:p>
      <w:pPr>
        <w:spacing w:line="340" w:lineRule="exact"/>
        <w:rPr>
          <w:rFonts w:ascii="宋体" w:hAnsi="宋体"/>
          <w:b/>
          <w:color w:val="000000"/>
          <w:szCs w:val="21"/>
        </w:rPr>
      </w:pPr>
      <w:r>
        <w:rPr>
          <w:rFonts w:hint="eastAsia" w:ascii="宋体" w:hAnsi="宋体"/>
          <w:b/>
          <w:color w:val="000000"/>
          <w:szCs w:val="21"/>
        </w:rPr>
        <w:t>乙方：深圳市华芯通供应链管理有限公司</w:t>
      </w:r>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rPr>
          <w:rFonts w:ascii="宋体" w:hAnsi="宋体"/>
          <w:color w:val="000000"/>
          <w:szCs w:val="21"/>
        </w:rPr>
      </w:pPr>
      <w:r>
        <w:rPr>
          <w:rFonts w:hint="eastAsia" w:ascii="宋体" w:hAnsi="宋体"/>
          <w:color w:val="000000"/>
          <w:szCs w:val="21"/>
        </w:rPr>
        <w:t>签约日期：</w:t>
      </w:r>
    </w:p>
    <w:p>
      <w:pPr>
        <w:spacing w:line="340" w:lineRule="exact"/>
        <w:rPr>
          <w:b/>
          <w:color w:val="000000"/>
          <w:kern w:val="0"/>
          <w:szCs w:val="21"/>
        </w:rPr>
      </w:pPr>
    </w:p>
    <w:p>
      <w:pPr>
        <w:spacing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
    <w:p/>
    <w:p/>
    <w:p/>
    <w:p/>
    <w:p/>
    <w:p/>
    <w:p/>
    <w:p/>
    <w:p/>
    <w:p/>
    <w:p/>
    <w:p/>
    <w:p>
      <w:pPr>
        <w:pStyle w:val="3"/>
        <w:bidi w:val="0"/>
        <w:rPr>
          <w:rFonts w:hint="eastAsia"/>
          <w:lang w:val="en-US" w:eastAsia="zh-CN"/>
        </w:rPr>
      </w:pPr>
      <w:r>
        <w:rPr>
          <w:rFonts w:hint="eastAsia"/>
          <w:lang w:val="en-US" w:eastAsia="zh-CN"/>
        </w:rPr>
        <w:t>附件1：收费标准及结算方式</w:t>
      </w:r>
    </w:p>
    <w:tbl>
      <w:tblPr>
        <w:tblStyle w:val="12"/>
        <w:tblpPr w:leftFromText="180" w:rightFromText="180" w:vertAnchor="text" w:horzAnchor="page" w:tblpX="1592" w:tblpY="168"/>
        <w:tblOverlap w:val="never"/>
        <w:tblW w:w="9098" w:type="dxa"/>
        <w:tblInd w:w="-2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6"/>
        <w:gridCol w:w="149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协议期限</w:t>
            </w:r>
          </w:p>
        </w:tc>
        <w:tc>
          <w:tcPr>
            <w:tcW w:w="7762" w:type="dxa"/>
            <w:gridSpan w:val="2"/>
            <w:vAlign w:val="center"/>
          </w:tcPr>
          <w:p>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{AgreementStartDate} 至 {AgreementEndDate}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约定汇率</w:t>
            </w:r>
          </w:p>
        </w:tc>
        <w:tc>
          <w:tcPr>
            <w:tcW w:w="7762" w:type="dxa"/>
            <w:gridSpan w:val="2"/>
            <w:vAlign w:val="center"/>
          </w:tcPr>
          <w:p>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付汇</w:t>
            </w:r>
            <w:r>
              <w:rPr>
                <w:rFonts w:hint="eastAsia" w:ascii="宋体" w:hAnsi="宋体" w:eastAsia="宋体" w:cs="宋体"/>
                <w:sz w:val="21"/>
                <w:szCs w:val="21"/>
                <w:vertAlign w:val="baseline"/>
                <w:lang w:val="en-US" w:eastAsia="zh-CN"/>
              </w:rPr>
              <w:t>汇率：</w:t>
            </w:r>
            <w:r>
              <w:rPr>
                <w:rFonts w:hint="eastAsia" w:ascii="宋体" w:hAnsi="宋体" w:cs="宋体"/>
                <w:sz w:val="21"/>
                <w:szCs w:val="21"/>
                <w:vertAlign w:val="baseline"/>
                <w:lang w:val="en-US" w:eastAsia="zh-CN"/>
              </w:rPr>
              <w:t>付款当天</w:t>
            </w:r>
            <w:r>
              <w:rPr>
                <w:rFonts w:hint="eastAsia" w:ascii="宋体" w:hAnsi="宋体" w:eastAsia="宋体" w:cs="宋体"/>
                <w:color w:val="000000" w:themeColor="text1"/>
                <w:kern w:val="0"/>
                <w:sz w:val="21"/>
                <w:szCs w:val="21"/>
                <w14:textFill>
                  <w14:solidFill>
                    <w14:schemeClr w14:val="tx1"/>
                  </w14:solidFill>
                </w14:textFill>
              </w:rPr>
              <w:t>中国银行{IsTen}之后第一个外汇卖出价</w:t>
            </w:r>
          </w:p>
          <w:p>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税费</w:t>
            </w:r>
            <w:r>
              <w:rPr>
                <w:rFonts w:hint="eastAsia" w:ascii="宋体" w:hAnsi="宋体" w:eastAsia="宋体" w:cs="宋体"/>
                <w:sz w:val="21"/>
                <w:szCs w:val="21"/>
                <w:vertAlign w:val="baseline"/>
                <w:lang w:val="en-US" w:eastAsia="zh-CN"/>
              </w:rPr>
              <w:t>汇率：</w:t>
            </w:r>
            <w:r>
              <w:rPr>
                <w:rFonts w:hint="eastAsia" w:ascii="宋体" w:hAnsi="宋体" w:eastAsia="宋体" w:cs="宋体"/>
                <w:color w:val="000000" w:themeColor="text1"/>
                <w:kern w:val="0"/>
                <w:sz w:val="21"/>
                <w:szCs w:val="21"/>
                <w:lang w:val="en-US" w:eastAsia="zh-CN"/>
                <w14:textFill>
                  <w14:solidFill>
                    <w14:schemeClr w14:val="tx1"/>
                  </w14:solidFill>
                </w14:textFill>
              </w:rPr>
              <w:t>{TaxRateType}</w:t>
            </w:r>
          </w:p>
          <w:p>
            <w:pPr>
              <w:jc w:val="both"/>
              <w:rPr>
                <w:rFonts w:hint="default" w:ascii="宋体" w:hAnsi="宋体" w:eastAsia="宋体" w:cs="宋体"/>
                <w:sz w:val="21"/>
                <w:szCs w:val="21"/>
                <w:vertAlign w:val="baseline"/>
                <w:lang w:val="en-US" w:eastAsia="zh-CN"/>
              </w:rPr>
            </w:pPr>
            <w:r>
              <w:rPr>
                <w:rFonts w:hint="eastAsia"/>
              </w:rPr>
              <w:t>服务费</w:t>
            </w:r>
            <w:r>
              <w:rPr>
                <w:rFonts w:hint="eastAsia" w:ascii="宋体" w:hAnsi="宋体" w:eastAsia="宋体" w:cs="宋体"/>
                <w:sz w:val="21"/>
                <w:szCs w:val="21"/>
                <w:vertAlign w:val="baseline"/>
                <w:lang w:val="en-US" w:eastAsia="zh-CN"/>
              </w:rPr>
              <w:t>汇率：</w:t>
            </w:r>
            <w:r>
              <w:rPr>
                <w:rFonts w:hint="eastAsia" w:ascii="宋体" w:hAnsi="宋体" w:eastAsia="宋体" w:cs="宋体"/>
                <w:color w:val="000000" w:themeColor="text1"/>
                <w:kern w:val="0"/>
                <w:sz w:val="21"/>
                <w:szCs w:val="21"/>
                <w:lang w:val="en-US" w:eastAsia="zh-CN"/>
                <w14:textFill>
                  <w14:solidFill>
                    <w14:schemeClr w14:val="tx1"/>
                  </w14:solidFill>
                </w14:textFill>
              </w:rPr>
              <w:t>{AgencyRateType}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restart"/>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结算公式</w:t>
            </w:r>
          </w:p>
        </w:tc>
        <w:tc>
          <w:tcPr>
            <w:tcW w:w="1490" w:type="dxa"/>
            <w:vAlign w:val="center"/>
          </w:tcPr>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海关完税价格</w:t>
            </w:r>
          </w:p>
        </w:tc>
        <w:tc>
          <w:tcPr>
            <w:tcW w:w="6272" w:type="dxa"/>
            <w:vAlign w:val="center"/>
          </w:tcPr>
          <w:p>
            <w:pPr>
              <w:jc w:val="both"/>
              <w:rPr>
                <w:rFonts w:hint="default" w:ascii="宋体" w:hAnsi="宋体" w:cs="宋体"/>
                <w:sz w:val="21"/>
                <w:szCs w:val="21"/>
                <w:vertAlign w:val="baseline"/>
                <w:lang w:val="en-US" w:eastAsia="zh-CN"/>
              </w:rPr>
            </w:pPr>
            <w:r>
              <w:rPr>
                <w:rFonts w:hint="eastAsia" w:ascii="宋体" w:hAnsi="宋体" w:cs="宋体"/>
                <w:sz w:val="21"/>
                <w:szCs w:val="21"/>
                <w:vertAlign w:val="baseline"/>
                <w:lang w:val="en-US" w:eastAsia="zh-CN"/>
              </w:rPr>
              <w:t>外币货值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税费汇率</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运费</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保费</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杂费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pPr>
              <w:jc w:val="center"/>
              <w:rPr>
                <w:rFonts w:hint="eastAsia" w:ascii="宋体" w:hAnsi="宋体" w:eastAsia="宋体" w:cs="宋体"/>
                <w:sz w:val="21"/>
                <w:szCs w:val="21"/>
                <w:vertAlign w:val="baseline"/>
                <w:lang w:val="en-US" w:eastAsia="zh-CN"/>
              </w:rPr>
            </w:pPr>
          </w:p>
        </w:tc>
        <w:tc>
          <w:tcPr>
            <w:tcW w:w="1490" w:type="dxa"/>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货款</w:t>
            </w:r>
          </w:p>
        </w:tc>
        <w:tc>
          <w:tcPr>
            <w:tcW w:w="6272" w:type="dxa"/>
            <w:vAlign w:val="center"/>
          </w:tcPr>
          <w:p>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外币货值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付汇汇率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pPr>
              <w:jc w:val="center"/>
              <w:rPr>
                <w:rFonts w:hint="eastAsia" w:ascii="宋体" w:hAnsi="宋体" w:eastAsia="宋体" w:cs="宋体"/>
                <w:sz w:val="21"/>
                <w:szCs w:val="21"/>
                <w:vertAlign w:val="baseline"/>
                <w:lang w:val="en-US" w:eastAsia="zh-CN"/>
              </w:rPr>
            </w:pPr>
          </w:p>
        </w:tc>
        <w:tc>
          <w:tcPr>
            <w:tcW w:w="1490" w:type="dxa"/>
            <w:vAlign w:val="center"/>
          </w:tcPr>
          <w:p>
            <w:pPr>
              <w:jc w:val="center"/>
              <w:rPr>
                <w:rFonts w:hint="eastAsia"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关税金额</w:t>
            </w:r>
          </w:p>
        </w:tc>
        <w:tc>
          <w:tcPr>
            <w:tcW w:w="6272" w:type="dxa"/>
            <w:vAlign w:val="center"/>
          </w:tcPr>
          <w:p>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海关完税价格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关税率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pPr>
              <w:jc w:val="center"/>
              <w:rPr>
                <w:rFonts w:hint="eastAsia" w:ascii="宋体" w:hAnsi="宋体" w:eastAsia="宋体" w:cs="宋体"/>
                <w:sz w:val="21"/>
                <w:szCs w:val="21"/>
                <w:vertAlign w:val="baseline"/>
                <w:lang w:val="en-US" w:eastAsia="zh-CN"/>
              </w:rPr>
            </w:pPr>
          </w:p>
        </w:tc>
        <w:tc>
          <w:tcPr>
            <w:tcW w:w="1490" w:type="dxa"/>
            <w:vAlign w:val="center"/>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增值税</w:t>
            </w:r>
            <w:r>
              <w:rPr>
                <w:rFonts w:hint="eastAsia" w:ascii="宋体" w:hAnsi="宋体" w:cs="宋体"/>
                <w:sz w:val="21"/>
                <w:szCs w:val="21"/>
                <w:vertAlign w:val="baseline"/>
                <w:lang w:val="en-US" w:eastAsia="zh-CN"/>
              </w:rPr>
              <w:t>金额</w:t>
            </w:r>
          </w:p>
        </w:tc>
        <w:tc>
          <w:tcPr>
            <w:tcW w:w="6272" w:type="dxa"/>
            <w:vAlign w:val="center"/>
          </w:tcPr>
          <w:p>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(海关完税价格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关税金额)</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增值税率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pPr>
              <w:jc w:val="center"/>
              <w:rPr>
                <w:rFonts w:hint="eastAsia" w:ascii="宋体" w:hAnsi="宋体" w:eastAsia="宋体" w:cs="宋体"/>
                <w:sz w:val="21"/>
                <w:szCs w:val="21"/>
                <w:vertAlign w:val="baseline"/>
                <w:lang w:val="en-US" w:eastAsia="zh-CN"/>
              </w:rPr>
            </w:pPr>
          </w:p>
        </w:tc>
        <w:tc>
          <w:tcPr>
            <w:tcW w:w="1490" w:type="dxa"/>
            <w:vAlign w:val="center"/>
          </w:tcPr>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服务费金额</w:t>
            </w:r>
          </w:p>
        </w:tc>
        <w:tc>
          <w:tcPr>
            <w:tcW w:w="6272" w:type="dxa"/>
            <w:vAlign w:val="center"/>
          </w:tcPr>
          <w:p>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外币货值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服务费汇率</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服务费率</w:t>
            </w:r>
            <w:r>
              <w:rPr>
                <w:rFonts w:hint="eastAsia" w:ascii="宋体" w:hAnsi="宋体" w:eastAsia="宋体" w:cs="宋体"/>
                <w:sz w:val="21"/>
                <w:szCs w:val="21"/>
                <w:vertAlign w:val="baseline"/>
                <w:lang w:val="en-US" w:eastAsia="zh-CN"/>
              </w:rPr>
              <w:t>×{InvoicePoint}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pPr>
              <w:jc w:val="center"/>
              <w:rPr>
                <w:rFonts w:hint="eastAsia" w:ascii="宋体" w:hAnsi="宋体" w:eastAsia="宋体" w:cs="宋体"/>
                <w:sz w:val="21"/>
                <w:szCs w:val="21"/>
                <w:vertAlign w:val="baseline"/>
                <w:lang w:val="en-US" w:eastAsia="zh-CN"/>
              </w:rPr>
            </w:pPr>
          </w:p>
        </w:tc>
        <w:tc>
          <w:tcPr>
            <w:tcW w:w="7762" w:type="dxa"/>
            <w:gridSpan w:val="2"/>
            <w:vAlign w:val="center"/>
          </w:tcPr>
          <w:p>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注：海关要求申报的运费、保费、杂费金额为外币货值的千分之二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发票类别</w:t>
            </w:r>
          </w:p>
        </w:tc>
        <w:tc>
          <w:tcPr>
            <w:tcW w:w="7762" w:type="dxa"/>
            <w:gridSpan w:val="2"/>
            <w:vAlign w:val="center"/>
          </w:tcPr>
          <w:p>
            <w:pPr>
              <w:tabs>
                <w:tab w:val="left" w:pos="941"/>
              </w:tabs>
              <w:jc w:val="both"/>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{InvoiceTypeDescription}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restart"/>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具体报价及结算约定</w:t>
            </w:r>
          </w:p>
        </w:tc>
        <w:tc>
          <w:tcPr>
            <w:tcW w:w="1490" w:type="dxa"/>
            <w:vAlign w:val="center"/>
          </w:tcPr>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货款</w:t>
            </w:r>
          </w:p>
        </w:tc>
        <w:tc>
          <w:tcPr>
            <w:tcW w:w="6272" w:type="dxa"/>
            <w:vAlign w:val="center"/>
          </w:tcPr>
          <w:p>
            <w:pPr>
              <w:jc w:val="both"/>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{GoodsPaymentPeriod}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tcBorders/>
            <w:vAlign w:val="center"/>
          </w:tcPr>
          <w:p>
            <w:pPr>
              <w:jc w:val="center"/>
              <w:rPr>
                <w:rFonts w:hint="eastAsia" w:ascii="宋体" w:hAnsi="宋体" w:eastAsia="宋体" w:cs="宋体"/>
                <w:sz w:val="21"/>
                <w:szCs w:val="21"/>
                <w:vertAlign w:val="baseline"/>
                <w:lang w:val="en-US" w:eastAsia="zh-CN"/>
              </w:rPr>
            </w:pPr>
          </w:p>
        </w:tc>
        <w:tc>
          <w:tcPr>
            <w:tcW w:w="1490" w:type="dxa"/>
            <w:vAlign w:val="center"/>
          </w:tcPr>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税款</w:t>
            </w:r>
          </w:p>
        </w:tc>
        <w:tc>
          <w:tcPr>
            <w:tcW w:w="6272" w:type="dxa"/>
            <w:vAlign w:val="center"/>
          </w:tcPr>
          <w:p>
            <w:pPr>
              <w:jc w:val="both"/>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{TaxPaymentPeriod}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tcBorders/>
            <w:vAlign w:val="center"/>
          </w:tcPr>
          <w:p>
            <w:pPr>
              <w:jc w:val="center"/>
              <w:rPr>
                <w:rFonts w:hint="eastAsia" w:ascii="宋体" w:hAnsi="宋体" w:eastAsia="宋体" w:cs="宋体"/>
                <w:sz w:val="21"/>
                <w:szCs w:val="21"/>
                <w:vertAlign w:val="baseline"/>
                <w:lang w:val="en-US" w:eastAsia="zh-CN"/>
              </w:rPr>
            </w:pPr>
          </w:p>
        </w:tc>
        <w:tc>
          <w:tcPr>
            <w:tcW w:w="1490" w:type="dxa"/>
            <w:vAlign w:val="center"/>
          </w:tcPr>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服务费</w:t>
            </w:r>
          </w:p>
        </w:tc>
        <w:tc>
          <w:tcPr>
            <w:tcW w:w="6272" w:type="dxa"/>
            <w:vAlign w:val="center"/>
          </w:tcPr>
          <w:p>
            <w:pPr>
              <w:jc w:val="both"/>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服务费率：</w:t>
            </w:r>
            <w:r>
              <w:rPr>
                <w:rFonts w:hint="eastAsia" w:ascii="宋体" w:hAnsi="宋体" w:cs="宋体"/>
                <w:sz w:val="21"/>
                <w:szCs w:val="21"/>
                <w:u w:val="single"/>
                <w:vertAlign w:val="baseline"/>
                <w:lang w:val="en-US" w:eastAsia="zh-CN"/>
              </w:rPr>
              <w:t>{AgencyRate}</w:t>
            </w:r>
            <w:r>
              <w:rPr>
                <w:rFonts w:hint="eastAsia" w:ascii="宋体" w:hAnsi="宋体" w:cs="宋体"/>
                <w:sz w:val="21"/>
                <w:szCs w:val="21"/>
                <w:vertAlign w:val="baseline"/>
                <w:lang w:val="en-US" w:eastAsia="zh-CN"/>
              </w:rPr>
              <w:t>，最低消费</w:t>
            </w:r>
            <w:r>
              <w:rPr>
                <w:rFonts w:hint="eastAsia" w:ascii="宋体" w:hAnsi="宋体" w:cs="宋体"/>
                <w:sz w:val="21"/>
                <w:szCs w:val="21"/>
                <w:u w:val="single"/>
                <w:vertAlign w:val="baseline"/>
                <w:lang w:val="en-US" w:eastAsia="zh-CN"/>
              </w:rPr>
              <w:t>{MinimumAgent}</w:t>
            </w:r>
            <w:r>
              <w:rPr>
                <w:rFonts w:hint="eastAsia" w:ascii="宋体" w:hAnsi="宋体" w:cs="宋体"/>
                <w:sz w:val="21"/>
                <w:szCs w:val="21"/>
                <w:vertAlign w:val="baseline"/>
                <w:lang w:val="en-US" w:eastAsia="zh-CN"/>
              </w:rPr>
              <w:t>元/单</w:t>
            </w:r>
          </w:p>
          <w:p>
            <w:pPr>
              <w:jc w:val="both"/>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{AgentPaymentPeriod}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tcBorders/>
            <w:vAlign w:val="center"/>
          </w:tcPr>
          <w:p>
            <w:pPr>
              <w:jc w:val="center"/>
              <w:rPr>
                <w:rFonts w:hint="eastAsia" w:ascii="宋体" w:hAnsi="宋体" w:eastAsia="宋体" w:cs="宋体"/>
                <w:sz w:val="21"/>
                <w:szCs w:val="21"/>
                <w:vertAlign w:val="baseline"/>
                <w:lang w:val="en-US" w:eastAsia="zh-CN"/>
              </w:rPr>
            </w:pPr>
          </w:p>
        </w:tc>
        <w:tc>
          <w:tcPr>
            <w:tcW w:w="1490" w:type="dxa"/>
            <w:vAlign w:val="center"/>
          </w:tcPr>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杂费</w:t>
            </w:r>
          </w:p>
        </w:tc>
        <w:tc>
          <w:tcPr>
            <w:tcW w:w="6272" w:type="dxa"/>
            <w:vAlign w:val="center"/>
          </w:tcPr>
          <w:p>
            <w:p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{OtherPaymentPeriod}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tcBorders/>
            <w:vAlign w:val="center"/>
          </w:tcPr>
          <w:p>
            <w:pPr>
              <w:jc w:val="center"/>
              <w:rPr>
                <w:rFonts w:hint="eastAsia" w:ascii="宋体" w:hAnsi="宋体" w:eastAsia="宋体" w:cs="宋体"/>
                <w:sz w:val="21"/>
                <w:szCs w:val="21"/>
                <w:vertAlign w:val="baseline"/>
                <w:lang w:val="en-US" w:eastAsia="zh-CN"/>
              </w:rPr>
            </w:pPr>
          </w:p>
        </w:tc>
        <w:tc>
          <w:tcPr>
            <w:tcW w:w="7762" w:type="dxa"/>
            <w:gridSpan w:val="2"/>
            <w:vAlign w:val="center"/>
          </w:tcPr>
          <w:p>
            <w:pPr>
              <w:jc w:val="both"/>
              <w:rPr>
                <w:rFonts w:hint="eastAsia" w:ascii="宋体" w:hAnsi="宋体" w:eastAsia="宋体" w:cs="宋体"/>
                <w:sz w:val="21"/>
                <w:szCs w:val="21"/>
                <w:vertAlign w:val="baseline"/>
                <w:lang w:val="en-US" w:eastAsia="zh-CN"/>
              </w:rPr>
            </w:pPr>
            <w:r>
              <w:rPr>
                <w:rFonts w:hint="eastAsia"/>
              </w:rPr>
              <w:t>提醒：如有超出信用额度或账期逾期情况出现，受托方有权拒绝操作后续订单。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restart"/>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额外逾期资金占用费</w:t>
            </w:r>
          </w:p>
        </w:tc>
        <w:tc>
          <w:tcPr>
            <w:tcW w:w="1490" w:type="dxa"/>
            <w:vAlign w:val="center"/>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收费类</w:t>
            </w:r>
            <w:r>
              <w:rPr>
                <w:rFonts w:hint="eastAsia" w:ascii="宋体" w:hAnsi="宋体" w:cs="宋体"/>
                <w:sz w:val="21"/>
                <w:szCs w:val="21"/>
                <w:vertAlign w:val="baseline"/>
                <w:lang w:val="en-US" w:eastAsia="zh-CN"/>
              </w:rPr>
              <w:t>别</w:t>
            </w:r>
          </w:p>
        </w:tc>
        <w:tc>
          <w:tcPr>
            <w:tcW w:w="6272" w:type="dxa"/>
            <w:vAlign w:val="center"/>
          </w:tcPr>
          <w:p>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全部应收款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pPr>
              <w:jc w:val="center"/>
              <w:rPr>
                <w:rFonts w:hint="eastAsia" w:ascii="宋体" w:hAnsi="宋体" w:eastAsia="宋体" w:cs="宋体"/>
                <w:sz w:val="21"/>
                <w:szCs w:val="21"/>
                <w:vertAlign w:val="baseline"/>
                <w:lang w:val="en-US" w:eastAsia="zh-CN"/>
              </w:rPr>
            </w:pPr>
          </w:p>
        </w:tc>
        <w:tc>
          <w:tcPr>
            <w:tcW w:w="1490" w:type="dxa"/>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费率（天）</w:t>
            </w:r>
          </w:p>
        </w:tc>
        <w:tc>
          <w:tcPr>
            <w:tcW w:w="6272" w:type="dxa"/>
            <w:vAlign w:val="center"/>
          </w:tcPr>
          <w:p>
            <w:pPr>
              <w:jc w:val="both"/>
              <w:rPr>
                <w:rFonts w:hint="default" w:ascii="宋体" w:hAnsi="宋体" w:eastAsia="宋体" w:cs="宋体"/>
                <w:sz w:val="21"/>
                <w:szCs w:val="21"/>
                <w:vertAlign w:val="baseline"/>
                <w:lang w:val="en-US" w:eastAsia="zh-CN"/>
              </w:rPr>
            </w:pPr>
            <w:r>
              <w:rPr>
                <w:rFonts w:hint="eastAsia" w:ascii="宋体" w:hAnsi="宋体" w:cs="宋体"/>
                <w:sz w:val="21"/>
                <w:szCs w:val="21"/>
                <w:u w:val="single"/>
                <w:vertAlign w:val="baseline"/>
                <w:lang w:val="en-US" w:eastAsia="zh-CN"/>
              </w:rPr>
              <w:t>0.05%</w:t>
            </w:r>
            <w:r>
              <w:rPr>
                <w:rFonts w:hint="eastAsia" w:ascii="宋体" w:hAnsi="宋体" w:cs="宋体"/>
                <w:sz w:val="21"/>
                <w:szCs w:val="21"/>
                <w:vertAlign w:val="baseline"/>
                <w:lang w:val="en-US" w:eastAsia="zh-CN"/>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pPr>
              <w:jc w:val="center"/>
              <w:rPr>
                <w:rFonts w:hint="eastAsia" w:ascii="宋体" w:hAnsi="宋体" w:eastAsia="宋体" w:cs="宋体"/>
                <w:sz w:val="21"/>
                <w:szCs w:val="21"/>
                <w:vertAlign w:val="baseline"/>
                <w:lang w:val="en-US" w:eastAsia="zh-CN"/>
              </w:rPr>
            </w:pPr>
          </w:p>
        </w:tc>
        <w:tc>
          <w:tcPr>
            <w:tcW w:w="7762" w:type="dxa"/>
            <w:gridSpan w:val="2"/>
            <w:vAlign w:val="center"/>
          </w:tcPr>
          <w:p>
            <w:p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注：额外逾期资金占用费 = 逾期金额×逾期天数×逾期资金占用费率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Align w:val="center"/>
          </w:tcPr>
          <w:p>
            <w:pPr>
              <w:jc w:val="center"/>
              <w:rPr>
                <w:rFonts w:hint="eastAsia" w:ascii="宋体" w:hAnsi="宋体" w:eastAsia="宋体" w:cs="宋体"/>
                <w:sz w:val="21"/>
                <w:szCs w:val="21"/>
                <w:vertAlign w:val="baseline"/>
                <w:lang w:val="en-US" w:eastAsia="zh-CN"/>
              </w:rPr>
            </w:pPr>
            <w:r>
              <w:rPr>
                <w:rFonts w:hint="eastAsia"/>
              </w:rPr>
              <w:t>费用说明</w:t>
            </w:r>
          </w:p>
        </w:tc>
        <w:tc>
          <w:tcPr>
            <w:tcW w:w="7762" w:type="dxa"/>
            <w:gridSpan w:val="2"/>
            <w:vAlign w:val="center"/>
          </w:tcPr>
          <w:p>
            <w:pPr>
              <w:jc w:val="both"/>
              <w:rPr>
                <w:rFonts w:hint="eastAsia"/>
              </w:rPr>
            </w:pPr>
            <w:r>
              <w:rPr>
                <w:rFonts w:hint="eastAsia"/>
                <w:b/>
              </w:rPr>
              <w:t>服务费包含：</w:t>
            </w:r>
            <w:r>
              <w:t xml:space="preserve"> </w:t>
            </w:r>
            <w:r>
              <w:rPr>
                <w:rFonts w:hint="eastAsia"/>
              </w:rPr>
              <w:t>普通货物在受托方香港收货点至深圳卸货点的装货费、运输费（不含多次配送费用）、文件费、香港出口清关费、深圳进口报关费、进口批文费、打单费、查车费。</w:t>
            </w:r>
          </w:p>
          <w:p>
            <w:pPr>
              <w:jc w:val="both"/>
              <w:rPr>
                <w:rFonts w:hint="eastAsia"/>
                <w:b/>
              </w:rPr>
            </w:pPr>
            <w:r>
              <w:rPr>
                <w:rFonts w:hint="eastAsia"/>
                <w:b/>
              </w:rPr>
              <w:t>服务费不包含：</w:t>
            </w:r>
          </w:p>
          <w:p>
            <w:pPr>
              <w:jc w:val="both"/>
              <w:rPr>
                <w:rFonts w:hint="eastAsia"/>
              </w:rPr>
            </w:pPr>
            <w:r>
              <w:rPr>
                <w:rFonts w:hint="eastAsia"/>
              </w:rPr>
              <w:t>仓储及仓储操作费用；</w:t>
            </w:r>
          </w:p>
          <w:p>
            <w:pPr>
              <w:jc w:val="both"/>
              <w:rPr>
                <w:rFonts w:hint="eastAsia"/>
              </w:rPr>
            </w:pPr>
            <w:r>
              <w:rPr>
                <w:rFonts w:hint="eastAsia"/>
              </w:rPr>
              <w:t>商检货物报关报检费用；</w:t>
            </w:r>
          </w:p>
          <w:p>
            <w:pPr>
              <w:jc w:val="both"/>
              <w:rPr>
                <w:rFonts w:hint="eastAsia"/>
              </w:rPr>
            </w:pPr>
            <w:r>
              <w:rPr>
                <w:rFonts w:hint="eastAsia"/>
              </w:rPr>
              <w:t>银行收付款产生的费用；</w:t>
            </w:r>
          </w:p>
          <w:p>
            <w:pPr>
              <w:jc w:val="both"/>
              <w:rPr>
                <w:rFonts w:hint="eastAsia"/>
              </w:rPr>
            </w:pPr>
            <w:r>
              <w:rPr>
                <w:rFonts w:hint="eastAsia"/>
              </w:rPr>
              <w:t>特殊货物的装卸、运输、保险等费用；</w:t>
            </w:r>
          </w:p>
          <w:p>
            <w:pPr>
              <w:jc w:val="both"/>
              <w:rPr>
                <w:rFonts w:hint="eastAsia"/>
              </w:rPr>
            </w:pPr>
            <w:r>
              <w:rPr>
                <w:rFonts w:hint="eastAsia"/>
              </w:rPr>
              <w:t>货物到达受托方境外仓库之前及受托方境内仓库发货之后产生的费用；</w:t>
            </w:r>
          </w:p>
          <w:p>
            <w:pPr>
              <w:jc w:val="both"/>
              <w:rPr>
                <w:rFonts w:hint="eastAsia"/>
              </w:rPr>
            </w:pPr>
            <w:r>
              <w:rPr>
                <w:rFonts w:hint="eastAsia"/>
              </w:rPr>
              <w:t>特别关税、进口废弃电器电子产品处理基金、消费税；</w:t>
            </w:r>
          </w:p>
          <w:p>
            <w:pPr>
              <w:jc w:val="both"/>
              <w:rPr>
                <w:rFonts w:hint="eastAsia"/>
              </w:rPr>
            </w:pPr>
            <w:r>
              <w:rPr>
                <w:rFonts w:hint="eastAsia"/>
              </w:rPr>
              <w:t>其它应由委托方支付的费用。</w:t>
            </w:r>
          </w:p>
          <w:p>
            <w:pPr>
              <w:jc w:val="both"/>
              <w:rPr>
                <w:rFonts w:hint="eastAsia" w:ascii="宋体" w:hAnsi="宋体" w:eastAsia="宋体" w:cs="宋体"/>
                <w:sz w:val="21"/>
                <w:szCs w:val="21"/>
                <w:vertAlign w:val="baseline"/>
                <w:lang w:val="en-US" w:eastAsia="zh-CN"/>
              </w:rPr>
            </w:pPr>
            <w:r>
              <w:rPr>
                <w:rFonts w:hint="eastAsia"/>
              </w:rPr>
              <w:t>(如无特殊说明，费用均以人民币结算)</w:t>
            </w:r>
          </w:p>
        </w:tc>
      </w:tr>
    </w:tbl>
    <w:p>
      <w:pPr>
        <w:pStyle w:val="3"/>
        <w:rPr>
          <w:rFonts w:ascii="Times New Roman" w:hAnsi="Times New Roman"/>
          <w:color w:val="000000"/>
        </w:rPr>
      </w:pPr>
      <w:bookmarkStart w:id="0" w:name="_GoBack"/>
      <w:bookmarkEnd w:id="0"/>
      <w:r>
        <w:rPr>
          <w:rFonts w:hint="eastAsia" w:ascii="Times New Roman" w:hAnsi="Times New Roman"/>
          <w:color w:val="000000"/>
        </w:rPr>
        <w:t>附件2</w:t>
      </w:r>
    </w:p>
    <w:p>
      <w:pPr>
        <w:pStyle w:val="3"/>
        <w:jc w:val="center"/>
        <w:rPr>
          <w:rFonts w:ascii="Times New Roman" w:hAnsi="Times New Roman"/>
          <w:color w:val="000000"/>
        </w:rPr>
      </w:pPr>
      <w:r>
        <w:rPr>
          <w:rFonts w:hint="eastAsia" w:ascii="Times New Roman" w:hAnsi="Times New Roman"/>
          <w:color w:val="000000"/>
        </w:rPr>
        <w:t>授</w:t>
      </w:r>
      <w:r>
        <w:rPr>
          <w:rFonts w:ascii="Times New Roman" w:hAnsi="Times New Roman"/>
          <w:color w:val="000000"/>
        </w:rPr>
        <w:t xml:space="preserve"> </w:t>
      </w:r>
      <w:r>
        <w:rPr>
          <w:rFonts w:hint="eastAsia" w:ascii="Times New Roman" w:hAnsi="Times New Roman"/>
          <w:color w:val="000000"/>
        </w:rPr>
        <w:t>权</w:t>
      </w:r>
      <w:r>
        <w:rPr>
          <w:rFonts w:ascii="Times New Roman" w:hAnsi="Times New Roman"/>
          <w:color w:val="000000"/>
        </w:rPr>
        <w:t xml:space="preserve"> </w:t>
      </w:r>
      <w:r>
        <w:rPr>
          <w:rFonts w:hint="eastAsia" w:ascii="Times New Roman" w:hAnsi="Times New Roman"/>
          <w:color w:val="000000"/>
        </w:rPr>
        <w:t>书</w:t>
      </w:r>
    </w:p>
    <w:p>
      <w:pPr>
        <w:adjustRightInd w:val="0"/>
        <w:snapToGrid w:val="0"/>
        <w:spacing w:line="420" w:lineRule="exact"/>
        <w:ind w:firstLine="420" w:firstLineChars="200"/>
        <w:jc w:val="left"/>
        <w:rPr>
          <w:color w:val="000000"/>
          <w:szCs w:val="21"/>
        </w:rPr>
      </w:pPr>
      <w:r>
        <w:rPr>
          <w:rFonts w:hint="eastAsia"/>
          <w:color w:val="000000"/>
          <w:szCs w:val="21"/>
        </w:rPr>
        <w:t>兹授权我司以下人员在与深圳市华芯通供应链管理有限公司的业务往来中所签署的业务单证（《</w:t>
      </w:r>
      <w:r>
        <w:rPr>
          <w:rFonts w:hint="eastAsia" w:ascii="宋体" w:hAnsi="宋体"/>
          <w:color w:val="000000"/>
          <w:szCs w:val="21"/>
        </w:rPr>
        <w:t>委托进口货物确认单</w:t>
      </w:r>
      <w:r>
        <w:rPr>
          <w:rFonts w:hint="eastAsia"/>
          <w:color w:val="000000"/>
          <w:szCs w:val="21"/>
        </w:rPr>
        <w:t>》、</w:t>
      </w:r>
      <w:r>
        <w:rPr>
          <w:rFonts w:hint="eastAsia" w:ascii="宋体" w:hAnsi="宋体"/>
          <w:color w:val="000000"/>
          <w:szCs w:val="21"/>
        </w:rPr>
        <w:t>《付款委托确认书》</w:t>
      </w:r>
      <w:r>
        <w:rPr>
          <w:rFonts w:hint="eastAsia"/>
          <w:color w:val="000000"/>
          <w:szCs w:val="21"/>
        </w:rPr>
        <w:t>、《货物签收单》、《对账单》等）均视为有效。本授权书有效期限与供应链服务协议一致；以上授权人员如有更改，我司将以书面形式通知。</w:t>
      </w:r>
    </w:p>
    <w:p>
      <w:pPr>
        <w:adjustRightInd w:val="0"/>
        <w:snapToGrid w:val="0"/>
        <w:spacing w:line="420" w:lineRule="exact"/>
        <w:ind w:firstLine="420" w:firstLineChars="200"/>
        <w:jc w:val="left"/>
        <w:rPr>
          <w:color w:val="000000"/>
          <w:szCs w:val="21"/>
        </w:rPr>
      </w:pPr>
      <w:r>
        <w:rPr>
          <w:rFonts w:hint="eastAsia"/>
          <w:color w:val="000000"/>
          <w:szCs w:val="21"/>
        </w:rPr>
        <w:t>授权代表签字具体如下：</w:t>
      </w:r>
    </w:p>
    <w:p>
      <w:pPr>
        <w:adjustRightInd w:val="0"/>
        <w:snapToGrid w:val="0"/>
        <w:spacing w:line="420" w:lineRule="exact"/>
        <w:ind w:firstLine="420" w:firstLineChars="200"/>
        <w:jc w:val="left"/>
        <w:rPr>
          <w:color w:val="000000"/>
          <w:szCs w:val="21"/>
        </w:rPr>
      </w:pPr>
    </w:p>
    <w:tbl>
      <w:tblPr>
        <w:tblStyle w:val="11"/>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序号</w:t>
            </w:r>
          </w:p>
        </w:tc>
        <w:tc>
          <w:tcPr>
            <w:tcW w:w="87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姓名</w:t>
            </w:r>
          </w:p>
        </w:tc>
        <w:tc>
          <w:tcPr>
            <w:tcW w:w="155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签字样式</w:t>
            </w:r>
          </w:p>
        </w:tc>
        <w:tc>
          <w:tcPr>
            <w:tcW w:w="2551"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授权范围</w:t>
            </w:r>
          </w:p>
        </w:tc>
        <w:tc>
          <w:tcPr>
            <w:tcW w:w="311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联系电话及邮箱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1</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进口委托确认及货物相关信息确认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2</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对帐确认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3</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付款委托确认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4</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货物签收</w:t>
            </w:r>
          </w:p>
        </w:tc>
        <w:tc>
          <w:tcPr>
            <w:tcW w:w="3119" w:type="dxa"/>
            <w:vAlign w:val="center"/>
          </w:tcPr>
          <w:p>
            <w:pPr>
              <w:adjustRightInd w:val="0"/>
              <w:snapToGrid w:val="0"/>
              <w:spacing w:line="420" w:lineRule="exact"/>
              <w:rPr>
                <w:color w:val="000000"/>
                <w:kern w:val="0"/>
                <w:sz w:val="20"/>
                <w:szCs w:val="21"/>
              </w:rPr>
            </w:pPr>
          </w:p>
        </w:tc>
      </w:tr>
    </w:tbl>
    <w:p>
      <w:pPr>
        <w:adjustRightInd w:val="0"/>
        <w:snapToGrid w:val="0"/>
        <w:spacing w:line="420" w:lineRule="exact"/>
        <w:jc w:val="left"/>
        <w:rPr>
          <w:color w:val="000000"/>
          <w:szCs w:val="21"/>
        </w:rPr>
      </w:pPr>
    </w:p>
    <w:p>
      <w:pPr>
        <w:adjustRightInd w:val="0"/>
        <w:snapToGrid w:val="0"/>
        <w:spacing w:line="420" w:lineRule="exact"/>
        <w:jc w:val="left"/>
        <w:rPr>
          <w:color w:val="000000"/>
          <w:szCs w:val="21"/>
        </w:rPr>
      </w:pPr>
    </w:p>
    <w:p>
      <w:pPr>
        <w:adjustRightInd w:val="0"/>
        <w:snapToGrid w:val="0"/>
        <w:spacing w:line="420" w:lineRule="exact"/>
        <w:jc w:val="left"/>
        <w:rPr>
          <w:color w:val="000000"/>
          <w:szCs w:val="21"/>
        </w:rPr>
      </w:pPr>
    </w:p>
    <w:p>
      <w:pPr>
        <w:tabs>
          <w:tab w:val="left" w:pos="5010"/>
        </w:tabs>
        <w:adjustRightInd w:val="0"/>
        <w:snapToGrid w:val="0"/>
        <w:spacing w:line="420" w:lineRule="exact"/>
        <w:jc w:val="left"/>
        <w:rPr>
          <w:b/>
          <w:bCs/>
          <w:color w:val="000000"/>
          <w:szCs w:val="21"/>
        </w:rPr>
      </w:pPr>
      <w:r>
        <w:rPr>
          <w:color w:val="000000"/>
          <w:szCs w:val="21"/>
        </w:rPr>
        <w:tab/>
      </w:r>
      <w:r>
        <w:rPr>
          <w:rFonts w:hint="eastAsia"/>
          <w:b/>
          <w:bCs/>
          <w:color w:val="000000"/>
          <w:szCs w:val="21"/>
        </w:rPr>
        <w:t>授权人：</w:t>
      </w:r>
    </w:p>
    <w:p>
      <w:pPr>
        <w:tabs>
          <w:tab w:val="left" w:pos="4979"/>
        </w:tabs>
        <w:adjustRightInd w:val="0"/>
        <w:snapToGrid w:val="0"/>
        <w:spacing w:line="420" w:lineRule="exact"/>
        <w:jc w:val="left"/>
        <w:rPr>
          <w:b/>
          <w:bCs/>
          <w:color w:val="000000"/>
          <w:szCs w:val="21"/>
        </w:rPr>
      </w:pPr>
      <w:r>
        <w:rPr>
          <w:b/>
          <w:bCs/>
          <w:color w:val="000000"/>
          <w:szCs w:val="21"/>
        </w:rPr>
        <w:tab/>
      </w:r>
      <w:r>
        <w:rPr>
          <w:rFonts w:hint="eastAsia"/>
          <w:b/>
          <w:bCs/>
          <w:color w:val="000000"/>
          <w:szCs w:val="21"/>
        </w:rPr>
        <w:t>（加盖公章）</w:t>
      </w:r>
    </w:p>
    <w:p>
      <w:pPr>
        <w:adjustRightInd w:val="0"/>
        <w:snapToGrid w:val="0"/>
        <w:spacing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hint="eastAsia" w:ascii="Times New Roman" w:hAnsi="Times New Roman"/>
          <w:color w:val="000000"/>
        </w:rPr>
        <w:t>附件</w:t>
      </w:r>
      <w:r>
        <w:rPr>
          <w:rFonts w:hint="eastAsia" w:ascii="Times New Roman" w:hAnsi="Times New Roman"/>
          <w:color w:val="000000"/>
          <w:lang w:val="en-US" w:eastAsia="zh-CN"/>
        </w:rPr>
        <w:t>3</w:t>
      </w:r>
      <w:r>
        <w:rPr>
          <w:rFonts w:hint="eastAsia" w:ascii="Times New Roman" w:hAnsi="Times New Roman"/>
          <w:color w:val="000000"/>
        </w:rPr>
        <w:t>：商业合作伙伴贸易安全协议书</w:t>
      </w:r>
    </w:p>
    <w:p>
      <w:pPr>
        <w:spacing w:line="360" w:lineRule="auto"/>
        <w:rPr>
          <w:rFonts w:ascii="宋体" w:hAnsi="宋体" w:cs="宋体"/>
          <w:b/>
          <w:bCs/>
          <w:sz w:val="24"/>
          <w:szCs w:val="24"/>
        </w:rPr>
      </w:pPr>
      <w:r>
        <w:rPr>
          <w:rFonts w:hint="eastAsia" w:ascii="宋体" w:hAnsi="宋体" w:cs="宋体"/>
          <w:b/>
          <w:bCs/>
          <w:sz w:val="24"/>
          <w:szCs w:val="24"/>
        </w:rPr>
        <w:t>甲方：{CompanyName}</w:t>
      </w:r>
    </w:p>
    <w:p>
      <w:pPr>
        <w:spacing w:line="360" w:lineRule="auto"/>
        <w:rPr>
          <w:rFonts w:ascii="宋体" w:hAnsi="宋体" w:cs="宋体"/>
          <w:b/>
          <w:bCs/>
          <w:sz w:val="24"/>
          <w:szCs w:val="24"/>
        </w:rPr>
      </w:pPr>
      <w:r>
        <w:rPr>
          <w:rFonts w:hint="eastAsia" w:ascii="宋体" w:hAnsi="宋体" w:cs="宋体"/>
          <w:b/>
          <w:bCs/>
          <w:sz w:val="24"/>
          <w:szCs w:val="24"/>
        </w:rPr>
        <w:t>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hint="eastAsia" w:ascii="宋体" w:hAnsi="宋体"/>
          <w:color w:val="000000"/>
          <w:szCs w:val="21"/>
        </w:rPr>
        <w:t>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hint="eastAsia" w:ascii="宋体" w:hAnsi="宋体"/>
          <w:color w:val="000000"/>
          <w:szCs w:val="21"/>
        </w:rPr>
        <w:t>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hint="eastAsia" w:ascii="宋体" w:hAnsi="宋体"/>
          <w:color w:val="000000"/>
          <w:szCs w:val="21"/>
        </w:rPr>
        <w:t>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hint="eastAsia" w:ascii="宋体" w:hAnsi="宋体"/>
          <w:color w:val="000000"/>
          <w:szCs w:val="21"/>
        </w:rPr>
        <w:t>第三条、为使贸易安全工作落到实处，乙方有权不定期按AEO认证中有关贸易安全标准(如:海关总署公告</w:t>
      </w:r>
      <w:r>
        <w:rPr>
          <w:rFonts w:hint="eastAsia" w:ascii="宋体" w:hAnsi="宋体"/>
          <w:color w:val="000000"/>
          <w:szCs w:val="21"/>
          <w:lang w:val="en-US" w:eastAsia="zh-CN"/>
        </w:rPr>
        <w:t>2022年</w:t>
      </w:r>
      <w:r>
        <w:rPr>
          <w:rFonts w:hint="eastAsia" w:ascii="宋体" w:hAnsi="宋体"/>
          <w:color w:val="000000"/>
          <w:szCs w:val="21"/>
        </w:rPr>
        <w:t>第1</w:t>
      </w:r>
      <w:r>
        <w:rPr>
          <w:rFonts w:hint="eastAsia" w:ascii="宋体" w:hAnsi="宋体"/>
          <w:color w:val="000000"/>
          <w:szCs w:val="21"/>
          <w:lang w:val="en-US" w:eastAsia="zh-CN"/>
        </w:rPr>
        <w:t>06</w:t>
      </w:r>
      <w:r>
        <w:rPr>
          <w:rFonts w:hint="eastAsia" w:ascii="宋体" w:hAnsi="宋体"/>
          <w:color w:val="000000"/>
          <w:szCs w:val="21"/>
        </w:rPr>
        <w:t>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hint="eastAsia" w:ascii="宋体" w:hAnsi="宋体"/>
          <w:color w:val="000000"/>
          <w:szCs w:val="21"/>
        </w:rPr>
        <w:t>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hint="eastAsia" w:ascii="宋体" w:hAnsi="宋体"/>
          <w:color w:val="000000"/>
          <w:szCs w:val="21"/>
        </w:rPr>
        <w:t>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hint="eastAsia" w:ascii="宋体" w:hAnsi="宋体"/>
          <w:color w:val="000000"/>
          <w:szCs w:val="21"/>
        </w:rPr>
        <w:t>第六条、</w:t>
      </w:r>
      <w:r>
        <w:rPr>
          <w:rFonts w:hint="eastAsia" w:ascii="宋体" w:hAnsi="宋体"/>
          <w:color w:val="000000"/>
          <w:szCs w:val="21"/>
          <w:lang w:val="en-US" w:eastAsia="zh-CN"/>
        </w:rPr>
        <w:t>甲方加强教育培训相关负责人及对应岗位人员严格遵守贸易安全相关程序要求，对乙方内部贸易安全异常情况要及时汇报给管理层</w:t>
      </w:r>
      <w:r>
        <w:rPr>
          <w:rFonts w:hint="eastAsia" w:ascii="宋体" w:hAnsi="宋体"/>
          <w:color w:val="000000"/>
          <w:szCs w:val="21"/>
        </w:rPr>
        <w:t>。</w:t>
      </w:r>
    </w:p>
    <w:p>
      <w:pPr>
        <w:widowControl/>
        <w:ind w:firstLine="420"/>
        <w:jc w:val="left"/>
        <w:rPr>
          <w:rFonts w:ascii="宋体" w:hAnsi="宋体"/>
          <w:color w:val="000000"/>
          <w:szCs w:val="21"/>
        </w:rPr>
      </w:pPr>
      <w:r>
        <w:rPr>
          <w:rFonts w:hint="eastAsia" w:ascii="宋体" w:hAnsi="宋体"/>
          <w:color w:val="000000"/>
          <w:szCs w:val="21"/>
        </w:rPr>
        <w:t>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hint="eastAsia" w:ascii="宋体" w:hAnsi="宋体"/>
          <w:color w:val="000000"/>
          <w:szCs w:val="21"/>
        </w:rPr>
        <w:t>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67"/>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exact"/>
        </w:trPr>
        <w:tc>
          <w:tcPr>
            <w:tcW w:w="4767" w:type="dxa"/>
            <w:tcBorders>
              <w:tl2br w:val="nil"/>
              <w:tr2bl w:val="nil"/>
            </w:tcBorders>
            <w:vAlign w:val="center"/>
          </w:tcPr>
          <w:p>
            <w:pPr>
              <w:widowControl/>
              <w:jc w:val="both"/>
              <w:rPr>
                <w:rFonts w:hint="default" w:ascii="宋体" w:hAnsi="宋体" w:eastAsia="宋体"/>
                <w:color w:val="000000"/>
                <w:szCs w:val="21"/>
                <w:vertAlign w:val="baseline"/>
                <w:lang w:val="en-US" w:eastAsia="zh-CN"/>
              </w:rPr>
            </w:pPr>
            <w:r>
              <w:rPr>
                <w:rFonts w:hint="eastAsia" w:ascii="宋体" w:hAnsi="宋体"/>
                <w:color w:val="000000"/>
                <w:szCs w:val="21"/>
                <w:vertAlign w:val="baseline"/>
                <w:lang w:val="en-US" w:eastAsia="zh-CN"/>
              </w:rPr>
              <w:t>甲方：{CompanyName}</w:t>
            </w:r>
          </w:p>
        </w:tc>
        <w:tc>
          <w:tcPr>
            <w:tcW w:w="3930" w:type="dxa"/>
            <w:tcBorders>
              <w:tl2br w:val="nil"/>
              <w:tr2bl w:val="nil"/>
            </w:tcBorders>
            <w:vAlign w:val="center"/>
          </w:tcPr>
          <w:p>
            <w:pPr>
              <w:widowControl/>
              <w:jc w:val="both"/>
              <w:rPr>
                <w:rFonts w:ascii="宋体" w:hAnsi="宋体"/>
                <w:color w:val="000000"/>
                <w:szCs w:val="21"/>
                <w:vertAlign w:val="baseline"/>
              </w:rPr>
            </w:pPr>
            <w:r>
              <w:rPr>
                <w:rFonts w:hint="eastAsia" w:ascii="宋体" w:hAnsi="宋体"/>
                <w:color w:val="000000"/>
                <w:szCs w:val="21"/>
              </w:rPr>
              <w:t>乙方：深圳市华芯通供应链管理有限公司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exact"/>
        </w:trPr>
        <w:tc>
          <w:tcPr>
            <w:tcW w:w="4767" w:type="dxa"/>
            <w:tcBorders>
              <w:tl2br w:val="nil"/>
              <w:tr2bl w:val="nil"/>
            </w:tcBorders>
            <w:vAlign w:val="center"/>
          </w:tcPr>
          <w:p>
            <w:pPr>
              <w:widowControl/>
              <w:jc w:val="both"/>
              <w:rPr>
                <w:rFonts w:hint="default" w:ascii="宋体" w:hAnsi="宋体" w:eastAsia="宋体"/>
                <w:color w:val="000000"/>
                <w:szCs w:val="21"/>
                <w:vertAlign w:val="baseline"/>
                <w:lang w:val="en-US" w:eastAsia="zh-CN"/>
              </w:rPr>
            </w:pPr>
            <w:r>
              <w:rPr>
                <w:rFonts w:hint="eastAsia" w:ascii="宋体" w:hAnsi="宋体"/>
                <w:color w:val="000000"/>
                <w:szCs w:val="21"/>
                <w:vertAlign w:val="baseline"/>
                <w:lang w:val="en-US" w:eastAsia="zh-CN"/>
              </w:rPr>
              <w:t>签名盖章：</w:t>
            </w:r>
          </w:p>
        </w:tc>
        <w:tc>
          <w:tcPr>
            <w:tcW w:w="3930" w:type="dxa"/>
            <w:tcBorders>
              <w:tl2br w:val="nil"/>
              <w:tr2bl w:val="nil"/>
            </w:tcBorders>
            <w:vAlign w:val="center"/>
          </w:tcPr>
          <w:p>
            <w:pPr>
              <w:widowControl/>
              <w:jc w:val="both"/>
              <w:rPr>
                <w:rFonts w:hint="default" w:ascii="宋体" w:hAnsi="宋体" w:eastAsia="宋体" w:cs="黑体"/>
                <w:color w:val="000000"/>
                <w:kern w:val="2"/>
                <w:sz w:val="21"/>
                <w:szCs w:val="21"/>
                <w:vertAlign w:val="baseline"/>
                <w:lang w:val="en-US" w:eastAsia="zh-CN" w:bidi="ar-SA"/>
              </w:rPr>
            </w:pPr>
            <w:r>
              <w:rPr>
                <w:rFonts w:hint="eastAsia" w:ascii="宋体" w:hAnsi="宋体"/>
                <w:color w:val="000000"/>
                <w:szCs w:val="21"/>
                <w:vertAlign w:val="baseline"/>
                <w:lang w:val="en-US" w:eastAsia="zh-CN"/>
              </w:rPr>
              <w:t>签名盖章：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61" w:hRule="exact"/>
        </w:trPr>
        <w:tc>
          <w:tcPr>
            <w:tcW w:w="4767" w:type="dxa"/>
            <w:tcBorders>
              <w:tl2br w:val="nil"/>
              <w:tr2bl w:val="nil"/>
            </w:tcBorders>
            <w:vAlign w:val="center"/>
          </w:tcPr>
          <w:p>
            <w:pPr>
              <w:widowControl/>
              <w:jc w:val="both"/>
              <w:rPr>
                <w:rFonts w:hint="default" w:ascii="宋体" w:hAnsi="宋体"/>
                <w:color w:val="000000"/>
                <w:szCs w:val="21"/>
                <w:vertAlign w:val="baseline"/>
                <w:lang w:val="en-US" w:eastAsia="zh-CN"/>
              </w:rPr>
            </w:pPr>
            <w:r>
              <w:rPr>
                <w:rFonts w:hint="eastAsia" w:ascii="宋体" w:hAnsi="宋体"/>
                <w:color w:val="000000"/>
                <w:szCs w:val="21"/>
                <w:lang w:val="en-US" w:eastAsia="zh-CN"/>
              </w:rPr>
              <w:t xml:space="preserve">日期：   </w:t>
            </w:r>
            <w:r>
              <w:rPr>
                <w:rFonts w:hint="eastAsia" w:ascii="宋体" w:hAnsi="宋体"/>
                <w:color w:val="000000"/>
                <w:szCs w:val="21"/>
              </w:rPr>
              <w:t xml:space="preserve">年   月   日 </w:t>
            </w:r>
          </w:p>
        </w:tc>
        <w:tc>
          <w:tcPr>
            <w:tcW w:w="3930" w:type="dxa"/>
            <w:tcBorders>
              <w:tl2br w:val="nil"/>
              <w:tr2bl w:val="nil"/>
            </w:tcBorders>
            <w:vAlign w:val="center"/>
          </w:tcPr>
          <w:p>
            <w:pPr>
              <w:widowControl/>
              <w:jc w:val="both"/>
              <w:rPr>
                <w:rFonts w:hint="default" w:ascii="宋体" w:hAnsi="宋体" w:eastAsia="宋体" w:cs="黑体"/>
                <w:color w:val="000000"/>
                <w:kern w:val="2"/>
                <w:sz w:val="21"/>
                <w:szCs w:val="21"/>
                <w:vertAlign w:val="baseline"/>
                <w:lang w:val="en-US" w:eastAsia="zh-CN" w:bidi="ar-SA"/>
              </w:rPr>
            </w:pPr>
            <w:r>
              <w:rPr>
                <w:rFonts w:hint="eastAsia" w:ascii="宋体" w:hAnsi="宋体"/>
                <w:color w:val="000000"/>
                <w:szCs w:val="21"/>
                <w:lang w:val="en-US" w:eastAsia="zh-CN"/>
              </w:rPr>
              <w:t xml:space="preserve">日期：   </w:t>
            </w:r>
            <w:r>
              <w:rPr>
                <w:rFonts w:hint="eastAsia" w:ascii="宋体" w:hAnsi="宋体"/>
                <w:color w:val="000000"/>
                <w:szCs w:val="21"/>
              </w:rPr>
              <w:t xml:space="preserve">年   月   日 </w:t>
            </w:r>
          </w:p>
        </w:tc>
      </w:tr>
    </w:tbl>
    <w:p>
      <w:pPr>
        <w:widowControl/>
        <w:jc w:val="left"/>
        <w:rPr>
          <w:rFonts w:ascii="宋体" w:hAnsi="宋体"/>
          <w:color w:val="000000"/>
          <w:szCs w:val="21"/>
        </w:rPr>
        <w:sectPr>
          <w:headerReference r:id="rId3" w:type="default"/>
          <w:footerReference r:id="rId4" w:type="default"/>
          <w:pgSz w:w="11906" w:h="16838"/>
          <w:pgMar w:top="1440" w:right="1797" w:bottom="1559" w:left="1797" w:header="851" w:footer="720" w:gutter="0"/>
          <w:pgBorders>
            <w:top w:val="none" w:sz="0" w:space="0"/>
            <w:left w:val="none" w:sz="0" w:space="0"/>
            <w:bottom w:val="none" w:sz="0" w:space="0"/>
            <w:right w:val="none" w:sz="0" w:space="0"/>
          </w:pgBorders>
          <w:pgNumType w:fmt="decimal" w:start="1"/>
          <w:cols w:space="720" w:num="1"/>
          <w:docGrid w:type="lines" w:linePitch="312" w:charSpace="0"/>
        </w:sect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both"/>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r>
        <w:rPr>
          <w:rFonts w:hint="eastAsia" w:ascii="宋体" w:hAnsi="宋体" w:eastAsia="宋体"/>
          <w:color w:val="000000"/>
          <w:szCs w:val="21"/>
          <w:lang w:eastAsia="zh-CN"/>
        </w:rPr>
        <w:drawing>
          <wp:inline distT="0" distB="0" distL="114300" distR="114300">
            <wp:extent cx="1916430" cy="1149985"/>
            <wp:effectExtent l="0" t="0" r="7620" b="0"/>
            <wp:docPr id="5" name="图片 5" descr="200尺寸单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0尺寸单logo"/>
                    <pic:cNvPicPr>
                      <a:picLocks noChangeAspect="1"/>
                    </pic:cNvPicPr>
                  </pic:nvPicPr>
                  <pic:blipFill>
                    <a:blip r:embed="rId9"/>
                    <a:stretch>
                      <a:fillRect/>
                    </a:stretch>
                  </pic:blipFill>
                  <pic:spPr>
                    <a:xfrm>
                      <a:off x="0" y="0"/>
                      <a:ext cx="1916430" cy="1149985"/>
                    </a:xfrm>
                    <a:prstGeom prst="rect">
                      <a:avLst/>
                    </a:prstGeom>
                  </pic:spPr>
                </pic:pic>
              </a:graphicData>
            </a:graphic>
          </wp:inline>
        </w:drawing>
      </w: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default" w:ascii="宋体" w:hAnsi="宋体" w:eastAsia="宋体"/>
          <w:color w:val="000000"/>
          <w:szCs w:val="21"/>
          <w:lang w:val="en-US" w:eastAsia="zh-CN"/>
        </w:rPr>
      </w:pPr>
      <w:r>
        <w:rPr>
          <w:rFonts w:hint="eastAsia" w:ascii="黑体" w:hAnsi="黑体" w:eastAsia="黑体" w:cs="黑体"/>
          <w:color w:val="000000"/>
          <w:sz w:val="24"/>
          <w:szCs w:val="24"/>
          <w:lang w:val="en-US" w:eastAsia="zh-CN"/>
        </w:rPr>
        <w:t>专注于电子元器件进出口服务</w:t>
      </w: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p>
      <w:pPr>
        <w:widowControl/>
        <w:jc w:val="center"/>
        <w:rPr>
          <w:rFonts w:hint="eastAsia" w:ascii="宋体" w:hAnsi="宋体" w:eastAsia="宋体"/>
          <w:color w:val="000000"/>
          <w:szCs w:val="21"/>
          <w:lang w:eastAsia="zh-CN"/>
        </w:rPr>
      </w:pPr>
    </w:p>
    <w:sectPr>
      <w:headerReference r:id="rId5" w:type="default"/>
      <w:footerReference r:id="rId6" w:type="default"/>
      <w:pgSz w:w="11906" w:h="16838"/>
      <w:pgMar w:top="1440" w:right="1797" w:bottom="1559" w:left="1797" w:header="851" w:footer="720"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8505" w:type="dxa"/>
      <w:tblInd w:w="108" w:type="dxa"/>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Layout w:type="fixed"/>
      <w:tblCellMar>
        <w:top w:w="0" w:type="dxa"/>
        <w:left w:w="108" w:type="dxa"/>
        <w:bottom w:w="0" w:type="dxa"/>
        <w:right w:w="108" w:type="dxa"/>
      </w:tblCellMar>
    </w:tblPr>
    <w:tblGrid>
      <w:gridCol w:w="1788"/>
      <w:gridCol w:w="6717"/>
    </w:tblGrid>
    <w:tr>
      <w:tblPrEx>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CellMar>
          <w:top w:w="0" w:type="dxa"/>
          <w:left w:w="108" w:type="dxa"/>
          <w:bottom w:w="0" w:type="dxa"/>
          <w:right w:w="108" w:type="dxa"/>
        </w:tblCellMar>
      </w:tblPrEx>
      <w:tc>
        <w:tcPr>
          <w:tcW w:w="1788" w:type="dxa"/>
        </w:tcPr>
        <w:p>
          <w:pPr>
            <w:pStyle w:val="8"/>
            <w:jc w:val="center"/>
            <w:rPr>
              <w:b/>
              <w:bCs/>
              <w:color w:val="002060"/>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jc w:val="center"/>
                                  <w:rPr>
                                    <w:rFonts w:hint="eastAsia" w:eastAsia="宋体"/>
                                    <w:lang w:val="en-US" w:eastAsia="zh-CN"/>
                                  </w:rPr>
                                </w:pPr>
                                <w:r>
                                  <w:rPr>
                                    <w:b/>
                                    <w:color w:val="auto"/>
                                  </w:rPr>
                                  <w:fldChar w:fldCharType="begin"/>
                                </w:r>
                                <w:r>
                                  <w:rPr>
                                    <w:b/>
                                    <w:color w:val="auto"/>
                                  </w:rPr>
                                  <w:instrText xml:space="preserve">PAGE</w:instrText>
                                </w:r>
                                <w:r>
                                  <w:rPr>
                                    <w:b/>
                                    <w:color w:val="auto"/>
                                  </w:rPr>
                                  <w:fldChar w:fldCharType="separate"/>
                                </w:r>
                                <w:r>
                                  <w:rPr>
                                    <w:b/>
                                    <w:color w:val="auto"/>
                                  </w:rPr>
                                  <w:t>5</w:t>
                                </w:r>
                                <w:r>
                                  <w:rPr>
                                    <w:b/>
                                    <w:color w:val="auto"/>
                                  </w:rPr>
                                  <w:fldChar w:fldCharType="end"/>
                                </w:r>
                                <w:r>
                                  <w:rPr>
                                    <w:color w:val="auto"/>
                                    <w:lang w:val="zh-CN"/>
                                  </w:rPr>
                                  <w:t xml:space="preserve"> / </w:t>
                                </w:r>
                                <w:r>
                                  <w:rPr>
                                    <w:rFonts w:hint="eastAsia"/>
                                    <w:b/>
                                    <w:color w:val="auto"/>
                                    <w:lang w:val="en-US" w:eastAsia="zh-CN"/>
                                  </w:rPr>
                                  <w:t>8</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CziH4F5wEAAMcD&#10;AAAOAAAAAAAAAAEAIAAAAB4BAABkcnMvZTJvRG9jLnhtbFBLBQYAAAAABgAGAFkBAAB3BQAAAAA=&#10;">
                    <v:fill on="f" focussize="0,0"/>
                    <v:stroke on="f"/>
                    <v:imagedata o:title=""/>
                    <o:lock v:ext="edit" aspectratio="f"/>
                    <v:textbox inset="0mm,0mm,0mm,0mm" style="mso-fit-shape-to-text:t;">
                      <w:txbxContent>
                        <w:p>
                          <w:pPr>
                            <w:pStyle w:val="8"/>
                            <w:jc w:val="center"/>
                            <w:rPr>
                              <w:rFonts w:hint="eastAsia" w:eastAsia="宋体"/>
                              <w:lang w:val="en-US" w:eastAsia="zh-CN"/>
                            </w:rPr>
                          </w:pPr>
                          <w:r>
                            <w:rPr>
                              <w:b/>
                              <w:color w:val="auto"/>
                            </w:rPr>
                            <w:fldChar w:fldCharType="begin"/>
                          </w:r>
                          <w:r>
                            <w:rPr>
                              <w:b/>
                              <w:color w:val="auto"/>
                            </w:rPr>
                            <w:instrText xml:space="preserve">PAGE</w:instrText>
                          </w:r>
                          <w:r>
                            <w:rPr>
                              <w:b/>
                              <w:color w:val="auto"/>
                            </w:rPr>
                            <w:fldChar w:fldCharType="separate"/>
                          </w:r>
                          <w:r>
                            <w:rPr>
                              <w:b/>
                              <w:color w:val="auto"/>
                            </w:rPr>
                            <w:t>5</w:t>
                          </w:r>
                          <w:r>
                            <w:rPr>
                              <w:b/>
                              <w:color w:val="auto"/>
                            </w:rPr>
                            <w:fldChar w:fldCharType="end"/>
                          </w:r>
                          <w:r>
                            <w:rPr>
                              <w:color w:val="auto"/>
                              <w:lang w:val="zh-CN"/>
                            </w:rPr>
                            <w:t xml:space="preserve"> / </w:t>
                          </w:r>
                          <w:r>
                            <w:rPr>
                              <w:rFonts w:hint="eastAsia"/>
                              <w:b/>
                              <w:color w:val="auto"/>
                              <w:lang w:val="en-US" w:eastAsia="zh-CN"/>
                            </w:rPr>
                            <w:t>8</w:t>
                          </w:r>
                        </w:p>
                      </w:txbxContent>
                    </v:textbox>
                  </v:shape>
                </w:pict>
              </mc:Fallback>
            </mc:AlternateContent>
          </w:r>
        </w:p>
      </w:tc>
      <w:tc>
        <w:tcPr>
          <w:tcW w:w="6717" w:type="dxa"/>
        </w:tcPr>
        <w:p>
          <w:pPr>
            <w:pStyle w:val="8"/>
            <w:wordWrap w:val="0"/>
            <w:ind w:right="420" w:firstLine="2430" w:firstLineChars="1350"/>
            <w:jc w:val="right"/>
            <w:rPr>
              <w:rFonts w:hint="eastAsia" w:ascii="黑体" w:hAnsi="黑体" w:eastAsia="黑体" w:cs="黑体"/>
              <w:color w:val="auto"/>
              <w:sz w:val="21"/>
              <w:szCs w:val="21"/>
            </w:rPr>
          </w:pPr>
          <w:r>
            <w:rPr>
              <w:rFonts w:hint="eastAsia" w:ascii="黑体" w:hAnsi="黑体" w:eastAsia="黑体" w:cs="黑体"/>
              <w:color w:val="auto"/>
              <w:sz w:val="18"/>
              <w:szCs w:val="18"/>
            </w:rPr>
            <w:t>深圳市华芯通供应链管理有限公司</w:t>
          </w:r>
        </w:p>
        <w:p>
          <w:pPr>
            <w:pStyle w:val="8"/>
            <w:wordWrap w:val="0"/>
            <w:jc w:val="right"/>
            <w:rPr>
              <w:color w:val="002060"/>
            </w:rPr>
          </w:pPr>
        </w:p>
      </w:tc>
    </w:tr>
  </w:tbl>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0" w:rightFromText="180" w:vertAnchor="page" w:horzAnchor="page" w:tblpX="1843" w:tblpY="848"/>
      <w:tblOverlap w:val="never"/>
      <w:tblW w:w="852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36"/>
      <w:gridCol w:w="458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936" w:type="dxa"/>
          <w:tcBorders>
            <w:tl2br w:val="nil"/>
            <w:tr2bl w:val="nil"/>
          </w:tcBorders>
          <w:vAlign w:val="bottom"/>
        </w:tcPr>
        <w:p>
          <w:pPr>
            <w:pStyle w:val="9"/>
            <w:pBdr>
              <w:bottom w:val="none" w:color="auto" w:sz="0" w:space="0"/>
            </w:pBdr>
            <w:ind w:firstLine="50" w:firstLineChars="50"/>
            <w:jc w:val="both"/>
            <w:rPr>
              <w:rFonts w:hint="eastAsia" w:eastAsia="宋体"/>
              <w:sz w:val="10"/>
              <w:szCs w:val="10"/>
              <w:lang w:eastAsia="zh-CN"/>
            </w:rPr>
          </w:pPr>
          <w:r>
            <w:rPr>
              <w:rFonts w:hint="eastAsia" w:eastAsia="宋体"/>
              <w:sz w:val="10"/>
              <w:szCs w:val="10"/>
              <w:lang w:eastAsia="zh-CN"/>
            </w:rPr>
            <w:drawing>
              <wp:inline distT="0" distB="0" distL="114300" distR="114300">
                <wp:extent cx="965200" cy="241300"/>
                <wp:effectExtent l="0" t="0" r="6350" b="5715"/>
                <wp:docPr id="6" name="图片 6" descr="logo小号2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o小号200.50"/>
                        <pic:cNvPicPr>
                          <a:picLocks noChangeAspect="1"/>
                        </pic:cNvPicPr>
                      </pic:nvPicPr>
                      <pic:blipFill>
                        <a:blip r:embed="rId1"/>
                        <a:stretch>
                          <a:fillRect/>
                        </a:stretch>
                      </pic:blipFill>
                      <pic:spPr>
                        <a:xfrm>
                          <a:off x="0" y="0"/>
                          <a:ext cx="965200" cy="241300"/>
                        </a:xfrm>
                        <a:prstGeom prst="rect">
                          <a:avLst/>
                        </a:prstGeom>
                      </pic:spPr>
                    </pic:pic>
                  </a:graphicData>
                </a:graphic>
              </wp:inline>
            </w:drawing>
          </w:r>
        </w:p>
      </w:tc>
      <w:tc>
        <w:tcPr>
          <w:tcW w:w="4586" w:type="dxa"/>
          <w:tcBorders>
            <w:tl2br w:val="nil"/>
            <w:tr2bl w:val="nil"/>
          </w:tcBorders>
          <w:vAlign w:val="bottom"/>
        </w:tcPr>
        <w:p>
          <w:pPr>
            <w:pStyle w:val="9"/>
            <w:pBdr>
              <w:bottom w:val="none" w:color="auto" w:sz="0" w:space="0"/>
            </w:pBdr>
            <w:jc w:val="right"/>
            <w:rPr>
              <w:rFonts w:ascii="楷体_GB2312" w:eastAsia="楷体_GB2312"/>
              <w:sz w:val="21"/>
              <w:szCs w:val="21"/>
            </w:rPr>
          </w:pPr>
        </w:p>
        <w:p>
          <w:pPr>
            <w:pStyle w:val="9"/>
            <w:pBdr>
              <w:bottom w:val="none" w:color="auto" w:sz="0" w:space="0"/>
            </w:pBdr>
            <w:jc w:val="right"/>
            <w:rPr>
              <w:rFonts w:ascii="楷体_GB2312" w:eastAsia="楷体_GB2312"/>
              <w:sz w:val="21"/>
              <w:szCs w:val="21"/>
            </w:rPr>
          </w:pPr>
          <w:r>
            <w:rPr>
              <w:rFonts w:hint="eastAsia" w:ascii="黑体" w:hAnsi="黑体" w:eastAsia="黑体" w:cs="黑体"/>
              <w:sz w:val="18"/>
              <w:szCs w:val="18"/>
            </w:rPr>
            <w:t>供应链服务协议</w:t>
          </w:r>
        </w:p>
      </w:tc>
    </w:tr>
  </w:tbl>
  <w:p>
    <w:pPr>
      <w:pStyle w:val="9"/>
      <w:pBdr>
        <w:bottom w:val="none" w:color="auto" w:sz="0" w:space="1"/>
      </w:pBdr>
      <w:tabs>
        <w:tab w:val="clear" w:pos="4153"/>
      </w:tabs>
      <w:jc w:val="both"/>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tabs>
        <w:tab w:val="clear" w:pos="4153"/>
      </w:tabs>
      <w:jc w:val="both"/>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29380"/>
    <w:multiLevelType w:val="singleLevel"/>
    <w:tmpl w:val="BBE29380"/>
    <w:lvl w:ilvl="0" w:tentative="0">
      <w:start w:val="1"/>
      <w:numFmt w:val="chineseCounting"/>
      <w:suff w:val="space"/>
      <w:lvlText w:val="第%1条"/>
      <w:lvlJc w:val="left"/>
      <w:rPr>
        <w:rFonts w:hint="eastAsia"/>
      </w:rPr>
    </w:lvl>
  </w:abstractNum>
  <w:abstractNum w:abstractNumId="1">
    <w:nsid w:val="F471DAA1"/>
    <w:multiLevelType w:val="singleLevel"/>
    <w:tmpl w:val="F471DAA1"/>
    <w:lvl w:ilvl="0" w:tentative="0">
      <w:start w:val="2"/>
      <w:numFmt w:val="chineseCounting"/>
      <w:suff w:val="space"/>
      <w:lvlText w:val="第%1条"/>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iNTZmMTU1OWJhMWVkMTMxMTYzYjZjOWM2MTc2MmMifQ=="/>
  </w:docVars>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7A67EC"/>
    <w:rsid w:val="1AE127C0"/>
    <w:rsid w:val="1B5160D4"/>
    <w:rsid w:val="1C13103E"/>
    <w:rsid w:val="1D9A27A7"/>
    <w:rsid w:val="1DC34589"/>
    <w:rsid w:val="1E38039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B43607A"/>
    <w:rsid w:val="3C8323A3"/>
    <w:rsid w:val="3C9013BB"/>
    <w:rsid w:val="3CAB5423"/>
    <w:rsid w:val="3F4A659F"/>
    <w:rsid w:val="3F86515D"/>
    <w:rsid w:val="41FB75B4"/>
    <w:rsid w:val="42D00925"/>
    <w:rsid w:val="430B4F57"/>
    <w:rsid w:val="43435D45"/>
    <w:rsid w:val="43593417"/>
    <w:rsid w:val="446F6E72"/>
    <w:rsid w:val="45DB7C83"/>
    <w:rsid w:val="46337DA8"/>
    <w:rsid w:val="466A5E54"/>
    <w:rsid w:val="480C0889"/>
    <w:rsid w:val="48BE7C05"/>
    <w:rsid w:val="48C3749D"/>
    <w:rsid w:val="48C61F4B"/>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iPriority="1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11"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iPriority="22" w:name="Strong"/>
    <w:lsdException w:qFormat="1" w:uiPriority="2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9"/>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autoRedefine/>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autoRedefine/>
    <w:unhideWhenUsed/>
    <w:qFormat/>
    <w:uiPriority w:val="9"/>
    <w:pPr>
      <w:keepNext/>
      <w:keepLines/>
      <w:spacing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autoRedefine/>
    <w:unhideWhenUsed/>
    <w:qFormat/>
    <w:uiPriority w:val="99"/>
    <w:pPr>
      <w:jc w:val="left"/>
    </w:pPr>
  </w:style>
  <w:style w:type="paragraph" w:styleId="6">
    <w:name w:val="Body Text"/>
    <w:basedOn w:val="1"/>
    <w:qFormat/>
    <w:uiPriority w:val="1"/>
    <w:rPr>
      <w:rFonts w:ascii="宋体" w:hAnsi="宋体" w:cs="宋体"/>
      <w:sz w:val="24"/>
      <w:szCs w:val="24"/>
    </w:rPr>
  </w:style>
  <w:style w:type="paragraph" w:styleId="7">
    <w:name w:val="Balloon Text"/>
    <w:basedOn w:val="1"/>
    <w:link w:val="18"/>
    <w:unhideWhenUsed/>
    <w:qFormat/>
    <w:uiPriority w:val="99"/>
    <w:rPr>
      <w:sz w:val="18"/>
      <w:szCs w:val="18"/>
    </w:rPr>
  </w:style>
  <w:style w:type="paragraph" w:styleId="8">
    <w:name w:val="footer"/>
    <w:basedOn w:val="1"/>
    <w:link w:val="17"/>
    <w:autoRedefine/>
    <w:unhideWhenUsed/>
    <w:qFormat/>
    <w:uiPriority w:val="99"/>
    <w:pPr>
      <w:tabs>
        <w:tab w:val="center" w:pos="4153"/>
        <w:tab w:val="right" w:pos="8306"/>
      </w:tabs>
      <w:snapToGrid w:val="0"/>
      <w:jc w:val="left"/>
    </w:pPr>
    <w:rPr>
      <w:sz w:val="18"/>
      <w:szCs w:val="18"/>
    </w:rPr>
  </w:style>
  <w:style w:type="paragraph" w:styleId="9">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2"/>
    <w:unhideWhenUsed/>
    <w:qFormat/>
    <w:uiPriority w:val="99"/>
    <w:rPr>
      <w:b/>
      <w:bCs/>
    </w:rPr>
  </w:style>
  <w:style w:type="table" w:styleId="12">
    <w:name w:val="Table Grid"/>
    <w:basedOn w:val="11"/>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annotation reference"/>
    <w:basedOn w:val="13"/>
    <w:autoRedefine/>
    <w:unhideWhenUsed/>
    <w:qFormat/>
    <w:uiPriority w:val="99"/>
    <w:rPr>
      <w:sz w:val="21"/>
      <w:szCs w:val="21"/>
    </w:rPr>
  </w:style>
  <w:style w:type="paragraph" w:customStyle="1" w:styleId="15">
    <w:name w:val="列出段落1"/>
    <w:basedOn w:val="1"/>
    <w:qFormat/>
    <w:uiPriority w:val="99"/>
    <w:pPr>
      <w:ind w:firstLine="420" w:firstLineChars="200"/>
      <w:jc w:val="left"/>
    </w:pPr>
    <w:rPr>
      <w:rFonts w:ascii="Times New Roman" w:hAnsi="Times New Roman" w:eastAsia="PMingLiU" w:cs="Times New Roman"/>
      <w:sz w:val="24"/>
      <w:szCs w:val="24"/>
      <w:lang w:eastAsia="zh-TW"/>
    </w:rPr>
  </w:style>
  <w:style w:type="character" w:customStyle="1" w:styleId="16">
    <w:name w:val="页眉 Char"/>
    <w:basedOn w:val="13"/>
    <w:link w:val="9"/>
    <w:autoRedefine/>
    <w:qFormat/>
    <w:uiPriority w:val="99"/>
    <w:rPr>
      <w:sz w:val="18"/>
      <w:szCs w:val="18"/>
    </w:rPr>
  </w:style>
  <w:style w:type="character" w:customStyle="1" w:styleId="17">
    <w:name w:val="页脚 Char"/>
    <w:basedOn w:val="13"/>
    <w:link w:val="8"/>
    <w:qFormat/>
    <w:uiPriority w:val="99"/>
    <w:rPr>
      <w:sz w:val="18"/>
      <w:szCs w:val="18"/>
    </w:rPr>
  </w:style>
  <w:style w:type="character" w:customStyle="1" w:styleId="18">
    <w:name w:val="批注框文本 Char"/>
    <w:basedOn w:val="13"/>
    <w:link w:val="7"/>
    <w:autoRedefine/>
    <w:semiHidden/>
    <w:qFormat/>
    <w:uiPriority w:val="99"/>
    <w:rPr>
      <w:sz w:val="18"/>
      <w:szCs w:val="18"/>
    </w:rPr>
  </w:style>
  <w:style w:type="character" w:customStyle="1" w:styleId="19">
    <w:name w:val="标题 1 Char"/>
    <w:basedOn w:val="13"/>
    <w:link w:val="2"/>
    <w:autoRedefine/>
    <w:qFormat/>
    <w:uiPriority w:val="9"/>
    <w:rPr>
      <w:b/>
      <w:bCs/>
      <w:kern w:val="44"/>
      <w:sz w:val="44"/>
      <w:szCs w:val="44"/>
    </w:rPr>
  </w:style>
  <w:style w:type="character" w:customStyle="1" w:styleId="20">
    <w:name w:val="标题 2 Char"/>
    <w:basedOn w:val="13"/>
    <w:link w:val="3"/>
    <w:autoRedefine/>
    <w:qFormat/>
    <w:uiPriority w:val="0"/>
    <w:rPr>
      <w:rFonts w:ascii="Arial" w:hAnsi="Arial" w:eastAsia="黑体" w:cs="Times New Roman"/>
      <w:b/>
      <w:bCs/>
      <w:sz w:val="32"/>
      <w:szCs w:val="32"/>
    </w:rPr>
  </w:style>
  <w:style w:type="character" w:customStyle="1" w:styleId="21">
    <w:name w:val="批注文字 Char"/>
    <w:basedOn w:val="13"/>
    <w:link w:val="5"/>
    <w:autoRedefine/>
    <w:semiHidden/>
    <w:qFormat/>
    <w:uiPriority w:val="99"/>
  </w:style>
  <w:style w:type="character" w:customStyle="1" w:styleId="22">
    <w:name w:val="批注主题 Char"/>
    <w:basedOn w:val="21"/>
    <w:link w:val="10"/>
    <w:autoRedefine/>
    <w:semiHidden/>
    <w:qFormat/>
    <w:uiPriority w:val="99"/>
    <w:rPr>
      <w:b/>
      <w:bCs/>
    </w:rPr>
  </w:style>
  <w:style w:type="paragraph" w:styleId="23">
    <w:name w:val="List Paragraph"/>
    <w:basedOn w:val="1"/>
    <w:autoRedefine/>
    <w:qFormat/>
    <w:uiPriority w:val="99"/>
    <w:pPr>
      <w:ind w:firstLine="420" w:firstLineChars="200"/>
      <w:jc w:val="left"/>
    </w:pPr>
    <w:rPr>
      <w:rFonts w:ascii="Times New Roman" w:hAnsi="Times New Roman" w:eastAsia="PMingLiU" w:cs="Times New Roman"/>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5825</Words>
  <Characters>6449</Characters>
  <Lines>49</Lines>
  <Paragraphs>13</Paragraphs>
  <TotalTime>4</TotalTime>
  <ScaleCrop>false</ScaleCrop>
  <LinksUpToDate>false</LinksUpToDate>
  <CharactersWithSpaces>6674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2017-10-16T08:03:00Z</dcterms:created>
  <dc:creator>Henry.Tsai</dc:creator>
  <cp:lastModifiedBy>ryan</cp:lastModifiedBy>
  <cp:lastPrinted>2012-08-24T05:40:00Z</cp:lastPrinted>
  <dcterms:modified xsi:type="dcterms:W3CDTF">2024-06-04T03:12:55Z</dcterms:modified>
  <dc:title>供应链服务协议</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AB7F9F3450B3471DA74C1429A20D95D5_13</vt:lpwstr>
  </property>
  <property fmtid="{D5CDD505-2E9C-101B-9397-08002B2CF9AE}" pid="4" name="Generator">
    <vt:lpwstr>NPOI</vt:lpwstr>
  </property>
  <property fmtid="{D5CDD505-2E9C-101B-9397-08002B2CF9AE}" pid="5" name="Generator Version">
    <vt:lpwstr>2.4.1</vt:lpwstr>
  </property>
</Properties>
</file>