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hint="eastAsia"/>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广州海绵宝宝商贸有限公司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HXTI2024052903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2024年05月24日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甲方（委托方）：广州海绵宝宝商贸有限公司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注册地址：广州市黄埔区凤凰四路99号A栋622房（自主申报）</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法定代表人：张明海</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24日起至2026年05月22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bookmarkStart w:id="0" w:name="_GoBack"/>
      <w:bookmarkEnd w:id="0"/>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{AgreementStartDate} 至 {AgreementEndDate}</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中国银行{IsTen}之后第一个外汇卖出价</w:t>
            </w:r>
          </w:p>
          <w:p>
            <w:pP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进口</w:t>
            </w:r>
            <w:r>
              <w:rPr>
                <w:rFonts w:ascii="宋体" w:eastAsia="宋体" w:hAnsi="宋体" w:cs="宋体" w:hint="eastAsia"/>
                <w:sz w:val="21"/>
                <w:szCs w:val="21"/>
                <w:vertAlign w:val="baseline"/>
                <w:lang w:val="en-US" w:eastAsia="zh-CN"/>
              </w:rPr>
              <w:t xml:space="preserve">当月海关汇率</w:t>
            </w:r>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进口当天中国银行{IsTen}之后第一个外汇卖出价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×{InvoicePoint}</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{InvoiceTypeDescription}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{GoodsPaymentPre}</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{TaxPaymentPre}</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{TaxPaymentPeriod}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{AgencyRate}</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{MinimumAgent}</w:t>
            </w:r>
            <w:r>
              <w:rPr>
                <w:rFonts w:ascii="宋体" w:hAnsi="宋体" w:cs="宋体" w:hint="eastAsia"/>
                <w:sz w:val="21"/>
                <w:szCs w:val="21"/>
                <w:vertAlign w:val="baseline"/>
                <w:lang w:val="en-US" w:eastAsia="zh-CN"/>
              </w:rPr>
              <w:t xml:space="preserve">元/单</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{AgentPaymentPre}</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{OtherPaymentPre}</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{OtherPaymentPeriod}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0.04%</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甲方：广州海绵宝宝商贸有限公司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甲方：{CompanyName}</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C8323A3"/>
    <w:rsid w:val="3C9013BB"/>
    <w:rsid w:val="3CAB5423"/>
    <w:rsid w:val="3F4A659F"/>
    <w:rsid w:val="3F86515D"/>
    <w:rsid w:val="41FB75B4"/>
    <w:rsid w:val="42D00925"/>
    <w:rsid w:val="430B4F57"/>
    <w:rsid w:val="43435D45"/>
    <w:rsid w:val="43593417"/>
    <w:rsid w:val="446F6E72"/>
    <w:rsid w:val="45DB7C83"/>
    <w:rsid w:val="46337DA8"/>
    <w:rsid w:val="466A5E54"/>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6039</Words>
  <Characters>6321</Characters>
  <Lines>49</Lines>
  <Paragraphs>13</Paragraphs>
  <TotalTime>18</TotalTime>
  <ScaleCrop>false</ScaleCrop>
  <LinksUpToDate>false</LinksUpToDate>
  <CharactersWithSpaces>6561</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2024-05-29T09:41:16Z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