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广州海绵宝宝商贸有限公司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XDT-XXXX-20240524</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20240524</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2024</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24</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广州海绵宝宝商贸有限公司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广州市黄埔区凤凰四路99号A栋622房（自主申报）</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张明海</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2024年05月24日</w:t>
      </w:r>
      <w:r>
        <w:rPr>
          <w:rFonts w:ascii="宋体" w:hAnsi="宋体" w:hint="eastAsia"/>
          <w:color w:val="000000"/>
          <w:szCs w:val="21"/>
        </w:rPr>
        <w:t xml:space="preserve">起至</w:t>
      </w:r>
      <w:r>
        <w:rPr>
          <w:rFonts w:ascii="宋体" w:hAnsi="宋体" w:hint="eastAsia"/>
          <w:color w:val="000000"/>
          <w:szCs w:val="21"/>
          <w:lang w:val="en-US" w:eastAsia="zh-CN"/>
        </w:rPr>
        <w:t xml:space="preserve">2026年05月22日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2024年05月24日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2026年05月22日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10:00</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10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450000.00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□实时汇率；</w:t>
      </w:r>
      <w:bookmarkStart w:id="0" w:name="_GoBack"/>
      <w:bookmarkEnd w:id="0"/>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0.30</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10</w:t>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40000.00</w:t>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10</w:t>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10000.00</w:t>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甲方：广州海绵宝宝商贸有限公司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广州海绵宝宝商贸有限公司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2023-06-28T01:23:39Z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