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114300" distR="114300">
            <wp:extent cx="2406650" cy="131445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06650" cy="1314450"/>
                    </a:xfrm>
                    <a:prstGeom prst="rect">
                      <a:avLst/>
                    </a:prstGeom>
                    <a:noFill/>
                    <a:ln>
                      <a:noFill/>
                    </a:ln>
                  </pic:spPr>
                </pic:pic>
              </a:graphicData>
            </a:graphic>
          </wp:inline>
        </w:drawing>
      </w:r>
    </w:p>
    <w:p>
      <w:pPr>
        <w:jc w:val="center"/>
      </w:pPr>
    </w:p>
    <w:p>
      <w:pPr>
        <w:jc w:val="center"/>
      </w:pPr>
    </w:p>
    <w:p>
      <w:pPr>
        <w:jc w:val="both"/>
      </w:pPr>
    </w:p>
    <w:p>
      <w:pPr>
        <w:jc w:val="both"/>
      </w:pPr>
    </w:p>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pacing w:val="29"/>
          <w:w w:val="100"/>
          <w:kern w:val="0"/>
          <w:sz w:val="52"/>
          <w:szCs w:val="52"/>
          <w:fitText w:val="3994" w:id="2101960427"/>
          <w:lang w:val="en-US" w:eastAsia="zh-CN"/>
        </w:rPr>
        <w:t>供应链服务协</w:t>
      </w:r>
      <w:r>
        <w:rPr>
          <w:rFonts w:hint="eastAsia" w:ascii="微软雅黑" w:hAnsi="微软雅黑" w:eastAsia="微软雅黑" w:cs="微软雅黑"/>
          <w:b/>
          <w:bCs/>
          <w:spacing w:val="3"/>
          <w:w w:val="100"/>
          <w:kern w:val="0"/>
          <w:sz w:val="52"/>
          <w:szCs w:val="52"/>
          <w:fitText w:val="3994" w:id="2101960427"/>
          <w:lang w:val="en-US" w:eastAsia="zh-CN"/>
        </w:rPr>
        <w:t>议</w:t>
      </w:r>
    </w:p>
    <w:p>
      <w:pPr>
        <w:jc w:val="center"/>
        <w:rPr>
          <w:rFonts w:hint="eastAsia" w:ascii="微软雅黑" w:hAnsi="微软雅黑" w:eastAsia="微软雅黑" w:cs="微软雅黑"/>
          <w:b/>
          <w:bCs/>
          <w:sz w:val="44"/>
          <w:szCs w:val="44"/>
          <w:lang w:eastAsia="zh-CN"/>
        </w:rPr>
      </w:pPr>
    </w:p>
    <w:p>
      <w:pPr>
        <w:jc w:val="center"/>
        <w:rPr>
          <w:rFonts w:hint="eastAsia" w:ascii="微软雅黑" w:hAnsi="微软雅黑" w:eastAsia="微软雅黑" w:cs="微软雅黑"/>
          <w:b/>
          <w:bCs/>
          <w:sz w:val="44"/>
          <w:szCs w:val="44"/>
          <w:lang w:eastAsia="zh-CN"/>
        </w:rPr>
      </w:pPr>
    </w:p>
    <w:p>
      <w:pPr>
        <w:jc w:val="center"/>
        <w:rPr>
          <w:rFonts w:hint="eastAsia" w:ascii="微软雅黑" w:hAnsi="微软雅黑" w:eastAsia="微软雅黑" w:cs="微软雅黑"/>
          <w:b/>
          <w:bCs/>
          <w:sz w:val="44"/>
          <w:szCs w:val="44"/>
          <w:lang w:eastAsia="zh-CN"/>
        </w:rPr>
      </w:pPr>
    </w:p>
    <w:p>
      <w:pPr>
        <w:jc w:val="center"/>
        <w:rPr>
          <w:rFonts w:hint="eastAsia" w:ascii="微软雅黑" w:hAnsi="微软雅黑" w:eastAsia="微软雅黑" w:cs="微软雅黑"/>
          <w:b/>
          <w:bCs/>
          <w:sz w:val="44"/>
          <w:szCs w:val="44"/>
          <w:lang w:eastAsia="zh-CN"/>
        </w:rPr>
      </w:pPr>
    </w:p>
    <w:p>
      <w:pPr>
        <w:jc w:val="center"/>
        <w:rPr>
          <w:rFonts w:hint="eastAsia" w:ascii="微软雅黑" w:hAnsi="微软雅黑" w:eastAsia="微软雅黑" w:cs="微软雅黑"/>
          <w:b/>
          <w:bCs/>
          <w:sz w:val="44"/>
          <w:szCs w:val="44"/>
          <w:lang w:eastAsia="zh-CN"/>
        </w:rPr>
      </w:pPr>
    </w:p>
    <w:p>
      <w:pPr>
        <w:jc w:val="center"/>
        <w:rPr>
          <w:rFonts w:hint="eastAsia" w:ascii="微软雅黑" w:hAnsi="微软雅黑" w:eastAsia="微软雅黑" w:cs="微软雅黑"/>
          <w:b/>
          <w:bCs/>
          <w:sz w:val="44"/>
          <w:szCs w:val="44"/>
          <w:lang w:eastAsia="zh-CN"/>
        </w:rPr>
      </w:pPr>
    </w:p>
    <w:p>
      <w:pPr>
        <w:ind w:firstLine="1680" w:firstLineChars="400"/>
        <w:jc w:val="left"/>
        <w:rPr>
          <w:rFonts w:hint="default" w:ascii="宋体" w:hAnsi="宋体" w:eastAsia="宋体" w:cs="宋体"/>
          <w:b w:val="0"/>
          <w:bCs w:val="0"/>
          <w:sz w:val="28"/>
          <w:szCs w:val="28"/>
          <w:u w:val="none"/>
          <w:lang w:val="en-US" w:eastAsia="zh-CN"/>
        </w:rPr>
      </w:pPr>
      <w:r>
        <w:rPr>
          <w:rFonts w:hint="eastAsia" w:ascii="宋体" w:hAnsi="宋体" w:cs="宋体"/>
          <w:b w:val="0"/>
          <w:bCs w:val="0"/>
          <w:spacing w:val="70"/>
          <w:kern w:val="0"/>
          <w:sz w:val="28"/>
          <w:szCs w:val="28"/>
          <w:fitText w:val="1120" w:id="390999310"/>
          <w:lang w:eastAsia="zh-CN"/>
        </w:rPr>
        <w:t>委托</w:t>
      </w:r>
      <w:r>
        <w:rPr>
          <w:rFonts w:hint="eastAsia" w:ascii="宋体" w:hAnsi="宋体" w:eastAsia="宋体" w:cs="宋体"/>
          <w:b w:val="0"/>
          <w:bCs w:val="0"/>
          <w:spacing w:val="0"/>
          <w:kern w:val="0"/>
          <w:sz w:val="28"/>
          <w:szCs w:val="28"/>
          <w:fitText w:val="1120" w:id="390999310"/>
          <w:lang w:eastAsia="zh-CN"/>
        </w:rPr>
        <w:t>人</w:t>
      </w:r>
      <w:r>
        <w:rPr>
          <w:rFonts w:hint="eastAsia" w:ascii="宋体" w:hAnsi="宋体" w:eastAsia="宋体" w:cs="宋体"/>
          <w:b w:val="0"/>
          <w:bCs w:val="0"/>
          <w:sz w:val="28"/>
          <w:szCs w:val="28"/>
          <w:lang w:eastAsia="zh-CN"/>
        </w:rPr>
        <w:t>：</w:t>
      </w:r>
      <w:r>
        <w:rPr>
          <w:rFonts w:hint="eastAsia" w:ascii="宋体" w:hAnsi="宋体" w:eastAsia="宋体" w:cs="宋体"/>
          <w:b w:val="0"/>
          <w:bCs w:val="0"/>
          <w:spacing w:val="137"/>
          <w:w w:val="100"/>
          <w:kern w:val="0"/>
          <w:sz w:val="28"/>
          <w:szCs w:val="28"/>
          <w:u w:val="single"/>
          <w:fitText w:val="3920" w:id="1755077972"/>
          <w:lang w:val="en-US" w:eastAsia="zh-CN"/>
        </w:rPr>
        <w:t xml:space="preserve"> </w:t>
      </w:r>
      <w:r>
        <w:rPr>
          <w:rFonts w:hint="eastAsia" w:ascii="宋体" w:hAnsi="宋体" w:cs="宋体"/>
          <w:b w:val="0"/>
          <w:bCs w:val="0"/>
          <w:spacing w:val="137"/>
          <w:w w:val="87"/>
          <w:kern w:val="0"/>
          <w:sz w:val="28"/>
          <w:szCs w:val="28"/>
          <w:u w:val="single"/>
          <w:fitText w:val="3920" w:id="1755077972"/>
          <w:lang w:val="en-US" w:eastAsia="zh-CN"/>
        </w:rPr>
        <w:t>{CompanyName}</w:t>
      </w:r>
      <w:r>
        <w:rPr>
          <w:rFonts w:hint="eastAsia" w:ascii="宋体" w:hAnsi="宋体" w:eastAsia="宋体" w:cs="宋体"/>
          <w:b w:val="0"/>
          <w:bCs w:val="0"/>
          <w:spacing w:val="1"/>
          <w:w w:val="100"/>
          <w:kern w:val="0"/>
          <w:sz w:val="28"/>
          <w:szCs w:val="28"/>
          <w:u w:val="single"/>
          <w:fitText w:val="3920" w:id="1755077972"/>
          <w:lang w:val="en-US" w:eastAsia="zh-CN"/>
        </w:rPr>
        <w:t xml:space="preserve"> </w:t>
      </w:r>
    </w:p>
    <w:p>
      <w:pPr>
        <w:ind w:firstLine="1680" w:firstLineChars="200"/>
        <w:jc w:val="left"/>
        <w:rPr>
          <w:rFonts w:hint="default" w:ascii="宋体" w:hAnsi="宋体" w:eastAsia="宋体" w:cs="宋体"/>
          <w:b w:val="0"/>
          <w:bCs w:val="0"/>
          <w:sz w:val="28"/>
          <w:szCs w:val="28"/>
          <w:u w:val="single"/>
          <w:lang w:val="en-US" w:eastAsia="zh-CN"/>
        </w:rPr>
      </w:pPr>
      <w:r>
        <w:rPr>
          <w:rFonts w:hint="eastAsia" w:ascii="宋体" w:hAnsi="宋体" w:cs="宋体"/>
          <w:b w:val="0"/>
          <w:bCs w:val="0"/>
          <w:spacing w:val="280"/>
          <w:kern w:val="0"/>
          <w:sz w:val="28"/>
          <w:szCs w:val="28"/>
          <w:u w:val="none"/>
          <w:fitText w:val="1120" w:id="2098736037"/>
          <w:lang w:val="en-US" w:eastAsia="zh-CN"/>
        </w:rPr>
        <w:t>编</w:t>
      </w:r>
      <w:r>
        <w:rPr>
          <w:rFonts w:hint="eastAsia" w:ascii="宋体" w:hAnsi="宋体" w:cs="宋体"/>
          <w:b w:val="0"/>
          <w:bCs w:val="0"/>
          <w:spacing w:val="0"/>
          <w:kern w:val="0"/>
          <w:sz w:val="28"/>
          <w:szCs w:val="28"/>
          <w:u w:val="none"/>
          <w:fitText w:val="1120" w:id="2098736037"/>
          <w:lang w:val="en-US" w:eastAsia="zh-CN"/>
        </w:rPr>
        <w:t>号</w:t>
      </w:r>
      <w:r>
        <w:rPr>
          <w:rFonts w:hint="eastAsia" w:ascii="宋体" w:hAnsi="宋体" w:cs="宋体"/>
          <w:b w:val="0"/>
          <w:bCs w:val="0"/>
          <w:sz w:val="28"/>
          <w:szCs w:val="28"/>
          <w:u w:val="none"/>
          <w:lang w:val="en-US" w:eastAsia="zh-CN"/>
        </w:rPr>
        <w:t>：</w:t>
      </w:r>
      <w:r>
        <w:rPr>
          <w:rFonts w:hint="eastAsia" w:ascii="宋体" w:hAnsi="宋体" w:cs="宋体"/>
          <w:b w:val="0"/>
          <w:bCs w:val="0"/>
          <w:spacing w:val="90"/>
          <w:kern w:val="0"/>
          <w:sz w:val="28"/>
          <w:szCs w:val="28"/>
          <w:u w:val="single"/>
          <w:fitText w:val="3920" w:id="278928773"/>
          <w:lang w:val="en-US" w:eastAsia="zh-CN"/>
        </w:rPr>
        <w:t xml:space="preserve"> XDT-XXXX-{Date}</w:t>
      </w:r>
      <w:r>
        <w:rPr>
          <w:rFonts w:hint="eastAsia" w:ascii="宋体" w:hAnsi="宋体" w:cs="宋体"/>
          <w:b w:val="0"/>
          <w:bCs w:val="0"/>
          <w:spacing w:val="5"/>
          <w:kern w:val="0"/>
          <w:sz w:val="28"/>
          <w:szCs w:val="28"/>
          <w:u w:val="single"/>
          <w:fitText w:val="3920" w:id="278928773"/>
          <w:lang w:val="en-US" w:eastAsia="zh-CN"/>
        </w:rPr>
        <w:t xml:space="preserve"> </w:t>
      </w:r>
    </w:p>
    <w:p/>
    <w:p>
      <w:pPr>
        <w:pStyle w:val="2"/>
        <w:jc w:val="both"/>
        <w:rPr>
          <w:rFonts w:hint="eastAsia"/>
          <w:color w:val="000000"/>
        </w:rPr>
        <w:sectPr>
          <w:headerReference r:id="rId3" w:type="default"/>
          <w:pgSz w:w="11906" w:h="16838"/>
          <w:pgMar w:top="1440" w:right="1797" w:bottom="1559" w:left="1797" w:header="851" w:footer="720" w:gutter="0"/>
          <w:cols w:space="720" w:num="1"/>
          <w:docGrid w:type="lines" w:linePitch="312" w:charSpace="0"/>
        </w:sectPr>
      </w:pPr>
    </w:p>
    <w:p>
      <w:pPr>
        <w:pStyle w:val="2"/>
        <w:jc w:val="center"/>
        <w:rPr>
          <w:color w:val="000000"/>
        </w:rPr>
      </w:pPr>
      <w:r>
        <w:rPr>
          <w:rFonts w:hint="eastAsia"/>
          <w:color w:val="000000"/>
        </w:rPr>
        <w:t>供应链服务协议</w:t>
      </w:r>
    </w:p>
    <w:p>
      <w:pPr>
        <w:spacing w:line="340" w:lineRule="exact"/>
        <w:ind w:firstLine="480"/>
        <w:jc w:val="right"/>
        <w:rPr>
          <w:rFonts w:ascii="宋体" w:hAnsi="宋体"/>
          <w:color w:val="000000"/>
          <w:szCs w:val="21"/>
        </w:rPr>
      </w:pPr>
      <w:r>
        <w:rPr>
          <w:rFonts w:hint="eastAsia" w:ascii="宋体" w:hAnsi="宋体"/>
          <w:color w:val="000000"/>
          <w:szCs w:val="21"/>
        </w:rPr>
        <w:t>编号：『</w:t>
      </w:r>
      <w:r>
        <w:rPr>
          <w:rFonts w:hint="eastAsia" w:ascii="宋体" w:hAnsi="宋体"/>
          <w:color w:val="000000"/>
          <w:szCs w:val="21"/>
          <w:lang w:val="en-US" w:eastAsia="zh-CN"/>
        </w:rPr>
        <w:t>XDT-XXXX</w:t>
      </w:r>
      <w:r>
        <w:rPr>
          <w:rFonts w:hint="eastAsia" w:ascii="宋体" w:hAnsi="宋体"/>
          <w:color w:val="000000"/>
          <w:szCs w:val="21"/>
        </w:rPr>
        <w:t>-</w:t>
      </w:r>
      <w:r>
        <w:rPr>
          <w:rFonts w:hint="eastAsia" w:ascii="宋体" w:hAnsi="宋体"/>
          <w:color w:val="000000"/>
          <w:szCs w:val="21"/>
          <w:lang w:val="en-US" w:eastAsia="zh-CN"/>
        </w:rPr>
        <w:t>{Date}</w:t>
      </w:r>
      <w:r>
        <w:rPr>
          <w:rFonts w:hint="eastAsia" w:ascii="宋体" w:hAnsi="宋体"/>
          <w:color w:val="000000"/>
          <w:szCs w:val="21"/>
        </w:rPr>
        <w:t>』</w:t>
      </w:r>
    </w:p>
    <w:p>
      <w:pPr>
        <w:spacing w:line="340" w:lineRule="exact"/>
        <w:ind w:firstLine="420" w:firstLineChars="200"/>
        <w:rPr>
          <w:rFonts w:ascii="宋体" w:hAnsi="宋体"/>
          <w:color w:val="000000"/>
          <w:szCs w:val="21"/>
        </w:rPr>
      </w:pPr>
      <w:r>
        <w:rPr>
          <w:rFonts w:hint="eastAsia" w:ascii="宋体" w:hAnsi="宋体"/>
          <w:color w:val="000000"/>
          <w:szCs w:val="21"/>
        </w:rPr>
        <w:t>本协议由以下双方于</w:t>
      </w:r>
      <w:r>
        <w:rPr>
          <w:rFonts w:hint="eastAsia" w:ascii="宋体" w:hAnsi="宋体"/>
          <w:color w:val="000000"/>
          <w:szCs w:val="21"/>
          <w:lang w:val="en-US" w:eastAsia="zh-CN"/>
        </w:rPr>
        <w:t>{Year}</w:t>
      </w:r>
      <w:r>
        <w:rPr>
          <w:rFonts w:hint="eastAsia" w:ascii="宋体" w:hAnsi="宋体"/>
          <w:color w:val="000000"/>
          <w:szCs w:val="21"/>
        </w:rPr>
        <w:t>年</w:t>
      </w:r>
      <w:r>
        <w:rPr>
          <w:rFonts w:hint="eastAsia" w:ascii="宋体" w:hAnsi="宋体"/>
          <w:color w:val="000000"/>
          <w:szCs w:val="21"/>
          <w:lang w:val="en-US" w:eastAsia="zh-CN"/>
        </w:rPr>
        <w:t>{Month}</w:t>
      </w:r>
      <w:r>
        <w:rPr>
          <w:rFonts w:hint="eastAsia" w:ascii="宋体" w:hAnsi="宋体"/>
          <w:color w:val="000000"/>
          <w:szCs w:val="21"/>
        </w:rPr>
        <w:t>月</w:t>
      </w:r>
      <w:r>
        <w:rPr>
          <w:rFonts w:hint="eastAsia" w:ascii="宋体" w:hAnsi="宋体"/>
          <w:color w:val="000000"/>
          <w:szCs w:val="21"/>
          <w:lang w:val="en-US" w:eastAsia="zh-CN"/>
        </w:rPr>
        <w:t>{Day}</w:t>
      </w:r>
      <w:r>
        <w:rPr>
          <w:rFonts w:hint="eastAsia" w:ascii="宋体" w:hAnsi="宋体"/>
          <w:color w:val="000000"/>
          <w:szCs w:val="21"/>
        </w:rPr>
        <w:t>日在中华人民共和国（以下简称“中国”）【深圳】市签订：</w:t>
      </w:r>
    </w:p>
    <w:p>
      <w:pPr>
        <w:spacing w:after="0" w:line="340" w:lineRule="exact"/>
        <w:ind w:firstLine="420" w:firstLineChars="200"/>
        <w:rPr>
          <w:rFonts w:hint="eastAsia" w:ascii="宋体" w:hAnsi="宋体"/>
          <w:color w:val="000000"/>
          <w:szCs w:val="21"/>
        </w:rPr>
      </w:pPr>
    </w:p>
    <w:p>
      <w:pPr>
        <w:spacing w:line="340" w:lineRule="exact"/>
        <w:ind w:firstLine="482"/>
        <w:rPr>
          <w:rFonts w:ascii="宋体" w:hAnsi="宋体"/>
          <w:b/>
          <w:color w:val="000000" w:themeColor="text1"/>
          <w:szCs w:val="21"/>
          <w14:textFill>
            <w14:solidFill>
              <w14:schemeClr w14:val="tx1"/>
            </w14:solidFill>
          </w14:textFill>
        </w:rPr>
      </w:pPr>
      <w:r>
        <w:rPr>
          <w:rFonts w:hint="eastAsia" w:ascii="宋体" w:hAnsi="宋体"/>
          <w:b/>
          <w:color w:val="000000"/>
          <w:szCs w:val="21"/>
        </w:rPr>
        <w:t>甲方（委托方）：</w:t>
      </w:r>
      <w:r>
        <w:rPr>
          <w:rFonts w:hint="eastAsia" w:ascii="宋体" w:hAnsi="宋体"/>
          <w:b/>
          <w:color w:val="000000"/>
          <w:szCs w:val="21"/>
          <w:lang w:val="en-US" w:eastAsia="zh-CN"/>
        </w:rPr>
        <w:t>{CompanyName}</w:t>
      </w:r>
    </w:p>
    <w:p>
      <w:pPr>
        <w:spacing w:line="340" w:lineRule="exact"/>
        <w:ind w:firstLine="48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注册地址：</w:t>
      </w:r>
      <w:r>
        <w:rPr>
          <w:rFonts w:hint="eastAsia"/>
          <w:szCs w:val="21"/>
          <w:lang w:val="en-US" w:eastAsia="zh-CN"/>
        </w:rPr>
        <w:t>{RegisteredAddress}</w:t>
      </w:r>
    </w:p>
    <w:p>
      <w:pPr>
        <w:spacing w:line="340" w:lineRule="exact"/>
        <w:ind w:left="1109" w:leftChars="228" w:hanging="630" w:hangingChars="300"/>
        <w:rPr>
          <w:rFonts w:ascii="宋体" w:hAnsi="宋体"/>
          <w:color w:val="000000" w:themeColor="text1"/>
          <w:szCs w:val="21"/>
          <w14:textFill>
            <w14:solidFill>
              <w14:schemeClr w14:val="tx1"/>
            </w14:solidFill>
          </w14:textFill>
        </w:rPr>
      </w:pPr>
      <w:r>
        <w:rPr>
          <w:rFonts w:hint="eastAsia" w:ascii="宋体" w:hAnsi="宋体"/>
          <w:color w:val="000000"/>
          <w:szCs w:val="21"/>
        </w:rPr>
        <w:t>法定代表人</w:t>
      </w:r>
      <w:r>
        <w:rPr>
          <w:rFonts w:hint="eastAsia" w:ascii="宋体" w:hAnsi="宋体"/>
          <w:color w:val="000000"/>
          <w:szCs w:val="21"/>
          <w:lang w:eastAsia="zh-CN"/>
        </w:rPr>
        <w:t>：</w:t>
      </w:r>
      <w:r>
        <w:rPr>
          <w:rFonts w:hint="eastAsia" w:ascii="宋体" w:hAnsi="宋体"/>
          <w:color w:val="000000"/>
          <w:szCs w:val="21"/>
          <w:lang w:val="en-US" w:eastAsia="zh-CN"/>
        </w:rPr>
        <w:t>{LegalPerson}</w:t>
      </w:r>
    </w:p>
    <w:p>
      <w:pPr>
        <w:spacing w:line="340" w:lineRule="exact"/>
        <w:ind w:firstLine="480"/>
        <w:rPr>
          <w:rFonts w:ascii="宋体" w:hAnsi="宋体"/>
          <w:color w:val="000000"/>
          <w:szCs w:val="21"/>
        </w:rPr>
      </w:pPr>
    </w:p>
    <w:p>
      <w:pPr>
        <w:spacing w:line="340" w:lineRule="exact"/>
        <w:ind w:firstLine="482"/>
        <w:rPr>
          <w:rFonts w:ascii="宋体" w:hAnsi="宋体"/>
          <w:b/>
          <w:color w:val="000000"/>
          <w:szCs w:val="21"/>
        </w:rPr>
      </w:pPr>
      <w:r>
        <w:rPr>
          <w:rFonts w:hint="eastAsia" w:ascii="宋体" w:hAnsi="宋体"/>
          <w:b/>
          <w:color w:val="000000"/>
          <w:szCs w:val="21"/>
        </w:rPr>
        <w:t>乙方（受托方）：深圳市</w:t>
      </w:r>
      <w:r>
        <w:rPr>
          <w:rFonts w:hint="eastAsia" w:ascii="宋体" w:hAnsi="宋体"/>
          <w:b/>
          <w:color w:val="000000"/>
          <w:szCs w:val="21"/>
          <w:lang w:eastAsia="zh-CN"/>
        </w:rPr>
        <w:t>芯达通</w:t>
      </w:r>
      <w:r>
        <w:rPr>
          <w:rFonts w:hint="eastAsia" w:ascii="宋体" w:hAnsi="宋体"/>
          <w:b/>
          <w:color w:val="000000"/>
          <w:szCs w:val="21"/>
        </w:rPr>
        <w:t>供应链管理有限公司</w:t>
      </w:r>
    </w:p>
    <w:p>
      <w:pPr>
        <w:spacing w:line="400" w:lineRule="exact"/>
        <w:ind w:firstLine="480"/>
        <w:rPr>
          <w:rFonts w:ascii="宋体" w:hAnsi="宋体"/>
          <w:color w:val="000000"/>
          <w:szCs w:val="21"/>
        </w:rPr>
      </w:pPr>
      <w:r>
        <w:rPr>
          <w:rFonts w:hint="eastAsia" w:ascii="宋体" w:hAnsi="宋体"/>
          <w:color w:val="000000"/>
          <w:szCs w:val="21"/>
        </w:rPr>
        <w:t>注册地址：深圳市龙岗区</w:t>
      </w:r>
      <w:r>
        <w:rPr>
          <w:rFonts w:hint="eastAsia" w:ascii="宋体" w:hAnsi="宋体"/>
          <w:color w:val="000000"/>
          <w:szCs w:val="21"/>
          <w:lang w:eastAsia="zh-CN"/>
        </w:rPr>
        <w:t>吉华街道水径社区吉华路</w:t>
      </w:r>
      <w:r>
        <w:rPr>
          <w:rFonts w:hint="eastAsia" w:ascii="宋体" w:hAnsi="宋体"/>
          <w:color w:val="000000"/>
          <w:szCs w:val="21"/>
          <w:lang w:val="en-US" w:eastAsia="zh-CN"/>
        </w:rPr>
        <w:t>393号英达丰工业区A栋厂房101</w:t>
      </w:r>
    </w:p>
    <w:p>
      <w:pPr>
        <w:spacing w:line="340" w:lineRule="exact"/>
        <w:ind w:firstLine="480"/>
        <w:rPr>
          <w:rFonts w:hint="eastAsia" w:ascii="宋体" w:hAnsi="宋体"/>
          <w:color w:val="000000"/>
          <w:szCs w:val="21"/>
          <w:lang w:eastAsia="zh-CN"/>
        </w:rPr>
      </w:pPr>
      <w:r>
        <w:rPr>
          <w:rFonts w:hint="eastAsia" w:ascii="宋体" w:hAnsi="宋体"/>
          <w:color w:val="000000"/>
          <w:szCs w:val="21"/>
        </w:rPr>
        <w:t>法定代表人：</w:t>
      </w:r>
      <w:r>
        <w:rPr>
          <w:rFonts w:hint="eastAsia" w:ascii="宋体" w:hAnsi="宋体"/>
          <w:color w:val="000000"/>
          <w:szCs w:val="21"/>
          <w:lang w:eastAsia="zh-CN"/>
        </w:rPr>
        <w:t>孙圣雷</w:t>
      </w:r>
    </w:p>
    <w:p>
      <w:pPr>
        <w:spacing w:line="340" w:lineRule="exact"/>
        <w:ind w:firstLine="480"/>
        <w:rPr>
          <w:rFonts w:hint="eastAsia" w:ascii="宋体" w:hAnsi="宋体"/>
          <w:color w:val="000000"/>
          <w:szCs w:val="21"/>
          <w:lang w:eastAsia="zh-CN"/>
        </w:rPr>
      </w:pPr>
    </w:p>
    <w:p>
      <w:pPr>
        <w:spacing w:line="340" w:lineRule="exact"/>
        <w:ind w:firstLine="420" w:firstLineChars="200"/>
        <w:rPr>
          <w:rFonts w:ascii="宋体" w:hAnsi="宋体"/>
          <w:color w:val="000000"/>
          <w:szCs w:val="21"/>
        </w:rPr>
      </w:pPr>
      <w:r>
        <w:rPr>
          <w:rFonts w:hint="eastAsia" w:ascii="宋体" w:hAnsi="宋体"/>
          <w:color w:val="000000"/>
          <w:szCs w:val="21"/>
        </w:rPr>
        <w:t>根据《中华人民共和国对外贸易法》、《民法典》及其他相关法律法规的规定，甲、乙双方经友好协商，就甲方委托乙方代理进口包括但不限于【电子元器等产品】</w:t>
      </w:r>
      <w:r>
        <w:rPr>
          <w:rFonts w:ascii="宋体" w:hAnsi="宋体"/>
          <w:color w:val="000000"/>
          <w:szCs w:val="21"/>
        </w:rPr>
        <w:t>(</w:t>
      </w:r>
      <w:r>
        <w:rPr>
          <w:rFonts w:hint="eastAsia" w:ascii="宋体" w:hAnsi="宋体"/>
          <w:color w:val="000000"/>
          <w:szCs w:val="21"/>
        </w:rPr>
        <w:t>以下称“货物”</w:t>
      </w:r>
      <w:r>
        <w:rPr>
          <w:rFonts w:ascii="宋体" w:hAnsi="宋体"/>
          <w:color w:val="000000"/>
          <w:szCs w:val="21"/>
        </w:rPr>
        <w:t>)</w:t>
      </w:r>
      <w:r>
        <w:rPr>
          <w:rFonts w:hint="eastAsia" w:ascii="宋体" w:hAnsi="宋体"/>
          <w:color w:val="000000"/>
          <w:szCs w:val="21"/>
        </w:rPr>
        <w:t>事宜，达成协议如下：</w:t>
      </w:r>
    </w:p>
    <w:p>
      <w:pPr>
        <w:spacing w:line="340" w:lineRule="exact"/>
        <w:rPr>
          <w:rFonts w:ascii="宋体" w:hAnsi="宋体"/>
          <w:color w:val="000000"/>
          <w:szCs w:val="21"/>
        </w:rPr>
      </w:pP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进口代理</w:t>
      </w:r>
    </w:p>
    <w:p>
      <w:pPr>
        <w:tabs>
          <w:tab w:val="left" w:pos="1080"/>
        </w:tabs>
        <w:spacing w:line="340" w:lineRule="exact"/>
        <w:ind w:left="563" w:leftChars="268"/>
        <w:rPr>
          <w:rFonts w:hint="eastAsia" w:ascii="宋体" w:hAnsi="宋体"/>
          <w:color w:val="000000"/>
          <w:szCs w:val="21"/>
        </w:rPr>
      </w:pPr>
      <w:r>
        <w:rPr>
          <w:rFonts w:hint="eastAsia" w:ascii="宋体" w:hAnsi="宋体"/>
          <w:color w:val="000000"/>
          <w:szCs w:val="21"/>
        </w:rPr>
        <w:t>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甲方责任和义务</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甲方保证委托乙方代理进口的货物必须是符合海关进口要求的全新产品。</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甲方应按照本协议第四条的约定，及时将购买货物所需的全部货款、代理费、仓前费及委托乙方代为支付的各项费用付至乙方帐户，</w:t>
      </w:r>
      <w:r>
        <w:rPr>
          <w:rFonts w:hint="eastAsia" w:asciiTheme="minorEastAsia" w:hAnsiTheme="minorEastAsia" w:eastAsiaTheme="minorEastAsia"/>
          <w:szCs w:val="21"/>
        </w:rPr>
        <w:t>乙方按约定开具发票</w:t>
      </w:r>
      <w:r>
        <w:rPr>
          <w:rFonts w:hint="eastAsia" w:ascii="宋体" w:hAnsi="宋体"/>
          <w:color w:val="000000"/>
          <w:szCs w:val="21"/>
        </w:rPr>
        <w:t>。</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hint="eastAsia" w:ascii="宋体" w:hAnsi="宋体"/>
          <w:color w:val="000000"/>
          <w:szCs w:val="21"/>
          <w:lang w:eastAsia="zh-CN"/>
        </w:rPr>
        <w:t>。</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乙方责任和义务</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乙方按照甲方确认的《委托进口货物确认单》内容代甲方办理货物的进口报关手续。</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乙方根据本协议以自己或者甲方代理人的名义单独或者与甲方一起与境外供货商或其他第三方签订进口合同（以下称“进口合同”）。</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乙方在收到甲方按照本协议第四条支付的货款后，代甲方办理对外付汇手续。乙方按照甲方确认的《付款/汇委托确认书》内容代甲方对外付款。</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line="340" w:lineRule="exact"/>
        <w:rPr>
          <w:rFonts w:hint="eastAsia" w:ascii="宋体" w:hAnsi="宋体"/>
          <w:color w:val="000000"/>
          <w:szCs w:val="21"/>
        </w:rPr>
      </w:pPr>
      <w:r>
        <w:rPr>
          <w:rFonts w:ascii="Times New Roman" w:hAnsi="Times New Roman" w:cs="Times New Roman"/>
          <w:kern w:val="0"/>
          <w:szCs w:val="21"/>
        </w:rPr>
        <w:t>HONGKONG CHANGYUN INTERNATIONAL LOGISTICS CO., LIMITED</w:t>
      </w:r>
      <w:r>
        <w:rPr>
          <w:rFonts w:ascii="Times New Roman" w:hAnsi="Times New Roman" w:cs="Times New Roman"/>
          <w:kern w:val="0"/>
          <w:szCs w:val="21"/>
        </w:rPr>
        <w:tab/>
      </w:r>
      <w:r>
        <w:rPr>
          <w:rFonts w:hint="eastAsia" w:cs="宋体"/>
          <w:kern w:val="0"/>
          <w:szCs w:val="21"/>
        </w:rPr>
        <w:t xml:space="preserve">      </w:t>
      </w:r>
      <w:r>
        <w:rPr>
          <w:rFonts w:hint="eastAsia" w:ascii="宋体" w:hAnsi="宋体"/>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hint="eastAsia" w:ascii="宋体" w:hAnsi="宋体"/>
          <w:color w:val="000000"/>
          <w:szCs w:val="21"/>
          <w:lang w:val="en-US" w:eastAsia="zh-CN"/>
        </w:rPr>
        <w:t>。</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乙方提供的本条约定的服务统称“供应链服务”，乙方有权将本协议约定的供应链服务分包给其它第三方。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color w:val="000000"/>
          <w:szCs w:val="21"/>
        </w:rPr>
        <w:t>《</w:t>
      </w:r>
      <w:r>
        <w:rPr>
          <w:rFonts w:hint="eastAsia" w:ascii="宋体" w:hAnsi="宋体"/>
          <w:b/>
          <w:color w:val="000000"/>
          <w:szCs w:val="21"/>
        </w:rPr>
        <w:t>进口合同</w:t>
      </w:r>
      <w:r>
        <w:rPr>
          <w:rFonts w:hint="eastAsia" w:ascii="宋体" w:hAnsi="宋体"/>
          <w:color w:val="000000"/>
          <w:szCs w:val="21"/>
        </w:rPr>
        <w:t>》</w:t>
      </w:r>
      <w:r>
        <w:rPr>
          <w:rFonts w:hint="eastAsia" w:ascii="宋体" w:hAnsi="宋体"/>
          <w:b/>
          <w:color w:val="000000"/>
          <w:szCs w:val="21"/>
        </w:rPr>
        <w:t>货款、代理费、通关及其支付和结算</w:t>
      </w:r>
    </w:p>
    <w:p>
      <w:pPr>
        <w:numPr>
          <w:ilvl w:val="0"/>
          <w:numId w:val="4"/>
        </w:numPr>
        <w:tabs>
          <w:tab w:val="left" w:pos="1080"/>
        </w:tabs>
        <w:spacing w:line="340" w:lineRule="exact"/>
        <w:rPr>
          <w:rFonts w:asciiTheme="minorEastAsia" w:hAnsiTheme="minorEastAsia" w:eastAsiaTheme="minorEastAsia"/>
          <w:szCs w:val="21"/>
        </w:rPr>
      </w:pPr>
      <w:r>
        <w:rPr>
          <w:rFonts w:hint="eastAsia" w:asciiTheme="minorEastAsia" w:hAnsiTheme="minorEastAsia" w:eastAsiaTheme="minorEastAsia"/>
          <w:szCs w:val="21"/>
        </w:rPr>
        <w:t>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line="340" w:lineRule="exact"/>
        <w:rPr>
          <w:rFonts w:ascii="宋体" w:hAnsi="宋体"/>
          <w:color w:val="000000"/>
          <w:szCs w:val="21"/>
        </w:rPr>
      </w:pPr>
      <w:r>
        <w:rPr>
          <w:rFonts w:hint="eastAsia" w:ascii="宋体" w:hAnsi="宋体"/>
          <w:color w:val="000000"/>
          <w:szCs w:val="21"/>
        </w:rPr>
        <w:t>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货物交付、验收以及风险承担</w:t>
      </w:r>
    </w:p>
    <w:p>
      <w:pPr>
        <w:numPr>
          <w:ilvl w:val="0"/>
          <w:numId w:val="5"/>
        </w:numPr>
        <w:spacing w:line="340" w:lineRule="exact"/>
        <w:rPr>
          <w:rFonts w:ascii="宋体" w:hAnsi="宋体"/>
          <w:color w:val="000000"/>
          <w:szCs w:val="21"/>
        </w:rPr>
      </w:pPr>
      <w:r>
        <w:rPr>
          <w:rFonts w:hint="eastAsia" w:ascii="宋体" w:hAnsi="宋体"/>
          <w:color w:val="000000"/>
          <w:szCs w:val="21"/>
        </w:rPr>
        <w:t>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line="340" w:lineRule="exact"/>
        <w:rPr>
          <w:rFonts w:ascii="宋体" w:hAnsi="宋体"/>
          <w:color w:val="000000"/>
          <w:szCs w:val="21"/>
        </w:rPr>
      </w:pPr>
      <w:r>
        <w:rPr>
          <w:rFonts w:hint="eastAsia" w:ascii="宋体" w:hAnsi="宋体"/>
          <w:color w:val="000000"/>
          <w:szCs w:val="21"/>
        </w:rPr>
        <w:t>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line="340" w:lineRule="exact"/>
        <w:rPr>
          <w:rFonts w:ascii="宋体" w:hAnsi="宋体"/>
          <w:color w:val="000000"/>
          <w:szCs w:val="21"/>
        </w:rPr>
      </w:pPr>
      <w:r>
        <w:rPr>
          <w:rFonts w:hint="eastAsia" w:ascii="宋体" w:hAnsi="宋体"/>
          <w:color w:val="000000"/>
          <w:szCs w:val="21"/>
        </w:rPr>
        <w:t>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hint="eastAsia" w:ascii="宋体" w:hAnsi="宋体"/>
          <w:color w:val="000000"/>
          <w:szCs w:val="21"/>
        </w:rPr>
        <w:t>甲方应承担相应责任</w:t>
      </w:r>
      <w:r>
        <w:rPr>
          <w:rFonts w:hint="eastAsia" w:ascii="宋体" w:hAnsi="宋体"/>
          <w:color w:val="000000"/>
          <w:szCs w:val="21"/>
          <w:lang w:eastAsia="zh-CN"/>
        </w:rPr>
        <w:t>。</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lang w:val="en-US" w:eastAsia="zh-CN"/>
        </w:rPr>
        <w:t>代垫货款</w:t>
      </w:r>
    </w:p>
    <w:p>
      <w:pPr>
        <w:numPr>
          <w:ilvl w:val="0"/>
          <w:numId w:val="6"/>
        </w:numPr>
        <w:spacing w:line="340" w:lineRule="exact"/>
        <w:ind w:left="567" w:leftChars="0" w:hanging="567" w:firstLineChars="0"/>
        <w:rPr>
          <w:rFonts w:hint="eastAsia" w:ascii="宋体" w:hAnsi="宋体"/>
          <w:color w:val="000000"/>
          <w:szCs w:val="21"/>
        </w:rPr>
      </w:pPr>
      <w:r>
        <w:rPr>
          <w:rFonts w:hint="eastAsia" w:ascii="宋体" w:hAnsi="宋体"/>
          <w:color w:val="000000"/>
          <w:szCs w:val="21"/>
        </w:rPr>
        <w:t>如甲方需乙方代垫货款，甲方应如实提供垫款所需各类材料供乙方参考，待乙方评估后确定垫款额度。</w:t>
      </w:r>
    </w:p>
    <w:p>
      <w:pPr>
        <w:numPr>
          <w:ilvl w:val="0"/>
          <w:numId w:val="6"/>
        </w:numPr>
        <w:spacing w:line="340" w:lineRule="exact"/>
        <w:ind w:left="567" w:leftChars="0" w:hanging="567" w:firstLineChars="0"/>
        <w:rPr>
          <w:rFonts w:hint="eastAsia" w:ascii="宋体" w:hAnsi="宋体"/>
          <w:color w:val="000000"/>
          <w:szCs w:val="21"/>
        </w:rPr>
      </w:pPr>
      <w:r>
        <w:rPr>
          <w:rFonts w:hint="eastAsia" w:ascii="宋体" w:hAnsi="宋体"/>
          <w:color w:val="000000"/>
          <w:szCs w:val="21"/>
        </w:rPr>
        <w:t>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line="340" w:lineRule="exact"/>
        <w:ind w:left="567" w:leftChars="0" w:hanging="567" w:firstLineChars="0"/>
        <w:rPr>
          <w:rFonts w:hint="eastAsia" w:ascii="宋体" w:hAnsi="宋体"/>
          <w:color w:val="000000"/>
          <w:szCs w:val="21"/>
        </w:rPr>
      </w:pPr>
      <w:r>
        <w:rPr>
          <w:rFonts w:hint="eastAsia" w:ascii="宋体" w:hAnsi="宋体"/>
          <w:color w:val="000000"/>
          <w:szCs w:val="21"/>
        </w:rPr>
        <w:t>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line="340" w:lineRule="exact"/>
        <w:ind w:left="567" w:leftChars="0" w:hanging="567" w:firstLineChars="0"/>
        <w:rPr>
          <w:rFonts w:hint="eastAsia" w:ascii="宋体" w:hAnsi="宋体"/>
          <w:color w:val="000000"/>
          <w:szCs w:val="21"/>
        </w:rPr>
      </w:pPr>
      <w:r>
        <w:rPr>
          <w:rFonts w:hint="eastAsia" w:ascii="宋体" w:hAnsi="宋体"/>
          <w:color w:val="000000"/>
          <w:szCs w:val="21"/>
        </w:rPr>
        <w:t>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合同的变更</w:t>
      </w:r>
    </w:p>
    <w:p>
      <w:pPr>
        <w:tabs>
          <w:tab w:val="left" w:pos="1080"/>
        </w:tabs>
        <w:spacing w:line="340" w:lineRule="exact"/>
        <w:ind w:left="563" w:leftChars="268"/>
        <w:rPr>
          <w:rFonts w:hint="eastAsia" w:ascii="宋体" w:hAnsi="宋体"/>
          <w:color w:val="000000"/>
          <w:szCs w:val="21"/>
        </w:rPr>
      </w:pPr>
      <w:r>
        <w:rPr>
          <w:rFonts w:hint="eastAsia" w:ascii="宋体" w:hAnsi="宋体"/>
          <w:color w:val="000000"/>
          <w:szCs w:val="21"/>
        </w:rPr>
        <w:t>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保密条款</w:t>
      </w:r>
    </w:p>
    <w:p>
      <w:pPr>
        <w:tabs>
          <w:tab w:val="left" w:pos="1080"/>
        </w:tabs>
        <w:spacing w:line="340" w:lineRule="exact"/>
        <w:ind w:left="563" w:leftChars="268"/>
        <w:rPr>
          <w:rFonts w:hint="eastAsia" w:ascii="宋体" w:hAnsi="宋体"/>
          <w:color w:val="000000"/>
          <w:szCs w:val="21"/>
        </w:rPr>
      </w:pPr>
      <w:r>
        <w:rPr>
          <w:rFonts w:hint="eastAsia" w:ascii="宋体" w:hAnsi="宋体"/>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违约责任</w:t>
      </w:r>
    </w:p>
    <w:p>
      <w:pPr>
        <w:numPr>
          <w:ilvl w:val="0"/>
          <w:numId w:val="7"/>
        </w:numPr>
        <w:tabs>
          <w:tab w:val="left" w:pos="1080"/>
        </w:tabs>
        <w:spacing w:line="340" w:lineRule="exact"/>
        <w:ind w:left="567" w:leftChars="0" w:hanging="567" w:firstLineChars="0"/>
        <w:rPr>
          <w:rFonts w:hint="eastAsia" w:ascii="宋体" w:hAnsi="宋体"/>
          <w:color w:val="000000"/>
          <w:szCs w:val="21"/>
        </w:rPr>
      </w:pPr>
      <w:r>
        <w:rPr>
          <w:rFonts w:hint="eastAsia" w:ascii="宋体" w:hAnsi="宋体"/>
          <w:color w:val="000000"/>
          <w:szCs w:val="21"/>
        </w:rPr>
        <w:t>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line="340" w:lineRule="exact"/>
        <w:ind w:left="567" w:leftChars="0" w:hanging="567" w:firstLineChars="0"/>
        <w:rPr>
          <w:rFonts w:hint="eastAsia" w:ascii="宋体" w:hAnsi="宋体"/>
          <w:color w:val="000000"/>
          <w:szCs w:val="21"/>
        </w:rPr>
      </w:pPr>
      <w:r>
        <w:rPr>
          <w:rFonts w:hint="eastAsia" w:ascii="宋体" w:hAnsi="宋体"/>
          <w:color w:val="000000"/>
          <w:szCs w:val="21"/>
        </w:rPr>
        <w:t>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line="340" w:lineRule="exact"/>
        <w:ind w:left="567" w:leftChars="0" w:hanging="567" w:firstLineChars="0"/>
        <w:rPr>
          <w:rFonts w:hint="eastAsia" w:ascii="宋体" w:hAnsi="宋体"/>
          <w:color w:val="000000"/>
          <w:szCs w:val="21"/>
        </w:rPr>
      </w:pPr>
      <w:r>
        <w:rPr>
          <w:rFonts w:hint="eastAsia" w:ascii="宋体" w:hAnsi="宋体"/>
          <w:color w:val="000000"/>
          <w:szCs w:val="21"/>
        </w:rPr>
        <w:t>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line="340" w:lineRule="exact"/>
        <w:ind w:left="567" w:leftChars="0" w:hanging="567" w:firstLineChars="0"/>
        <w:rPr>
          <w:rFonts w:hint="eastAsia" w:ascii="宋体" w:hAnsi="宋体"/>
          <w:color w:val="000000"/>
          <w:szCs w:val="21"/>
        </w:rPr>
      </w:pPr>
      <w:r>
        <w:rPr>
          <w:rFonts w:hint="eastAsia" w:ascii="宋体" w:hAnsi="宋体"/>
          <w:color w:val="000000"/>
          <w:szCs w:val="21"/>
        </w:rPr>
        <w:t>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line="340" w:lineRule="exact"/>
        <w:ind w:left="567" w:leftChars="0" w:hanging="567" w:firstLineChars="0"/>
        <w:rPr>
          <w:rFonts w:hint="eastAsia" w:ascii="宋体" w:hAnsi="宋体"/>
          <w:color w:val="000000"/>
          <w:szCs w:val="21"/>
        </w:rPr>
      </w:pPr>
      <w:r>
        <w:rPr>
          <w:rFonts w:hint="eastAsia" w:ascii="宋体" w:hAnsi="宋体"/>
          <w:color w:val="000000"/>
          <w:szCs w:val="21"/>
        </w:rPr>
        <w:t>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line="340" w:lineRule="exact"/>
        <w:ind w:left="567" w:leftChars="0" w:hanging="567" w:firstLineChars="0"/>
        <w:rPr>
          <w:rFonts w:ascii="宋体" w:hAnsi="宋体"/>
          <w:color w:val="000000"/>
          <w:szCs w:val="21"/>
        </w:rPr>
      </w:pPr>
      <w:r>
        <w:rPr>
          <w:rFonts w:hint="eastAsia" w:ascii="宋体" w:hAnsi="宋体"/>
          <w:color w:val="000000"/>
          <w:szCs w:val="21"/>
        </w:rPr>
        <w:t>甲方不按约定进行换汇的，一切责任与后果均由甲方承担。甲方超期未换汇情况严重的，乙方保留采取一切必要措施的权利。</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争议的解决</w:t>
      </w:r>
    </w:p>
    <w:p>
      <w:pPr>
        <w:numPr>
          <w:ilvl w:val="0"/>
          <w:numId w:val="8"/>
        </w:numPr>
        <w:tabs>
          <w:tab w:val="left" w:pos="1080"/>
        </w:tabs>
        <w:spacing w:line="340" w:lineRule="exact"/>
        <w:ind w:left="567" w:leftChars="0" w:hanging="567" w:firstLineChars="0"/>
        <w:rPr>
          <w:rFonts w:ascii="宋体" w:hAnsi="宋体"/>
          <w:color w:val="000000"/>
          <w:szCs w:val="21"/>
        </w:rPr>
      </w:pPr>
      <w:r>
        <w:rPr>
          <w:rFonts w:hint="eastAsia" w:ascii="宋体" w:hAnsi="宋体"/>
          <w:color w:val="000000"/>
          <w:szCs w:val="21"/>
        </w:rPr>
        <w:t>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line="340" w:lineRule="exact"/>
        <w:ind w:left="567" w:leftChars="0" w:hanging="567" w:firstLineChars="0"/>
        <w:rPr>
          <w:rFonts w:ascii="宋体" w:hAnsi="宋体"/>
          <w:color w:val="000000"/>
          <w:szCs w:val="21"/>
        </w:rPr>
      </w:pPr>
      <w:r>
        <w:rPr>
          <w:rFonts w:hint="eastAsia" w:ascii="宋体" w:hAnsi="宋体"/>
          <w:color w:val="000000"/>
          <w:szCs w:val="21"/>
        </w:rPr>
        <w:t>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line="340" w:lineRule="exact"/>
        <w:ind w:left="567" w:leftChars="0" w:hanging="567" w:firstLineChars="0"/>
        <w:rPr>
          <w:rFonts w:ascii="宋体" w:hAnsi="宋体"/>
          <w:color w:val="000000"/>
          <w:szCs w:val="21"/>
        </w:rPr>
      </w:pPr>
      <w:r>
        <w:rPr>
          <w:rFonts w:hint="eastAsia" w:ascii="宋体" w:hAnsi="宋体"/>
          <w:color w:val="000000"/>
          <w:szCs w:val="21"/>
        </w:rPr>
        <w:t>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其他约定</w:t>
      </w:r>
    </w:p>
    <w:p>
      <w:pPr>
        <w:numPr>
          <w:ilvl w:val="0"/>
          <w:numId w:val="9"/>
        </w:numPr>
        <w:tabs>
          <w:tab w:val="left" w:pos="1080"/>
        </w:tabs>
        <w:spacing w:line="340" w:lineRule="exact"/>
        <w:ind w:left="567" w:leftChars="0" w:hanging="567" w:firstLineChars="0"/>
        <w:rPr>
          <w:rFonts w:ascii="宋体" w:hAnsi="宋体"/>
          <w:color w:val="000000"/>
          <w:szCs w:val="21"/>
        </w:rPr>
      </w:pPr>
      <w:r>
        <w:rPr>
          <w:rFonts w:hint="eastAsia" w:ascii="宋体" w:hAnsi="宋体"/>
          <w:color w:val="000000"/>
          <w:szCs w:val="21"/>
        </w:rPr>
        <w:t>本协议有效期自</w:t>
      </w:r>
      <w:r>
        <w:rPr>
          <w:rFonts w:hint="eastAsia" w:ascii="宋体" w:hAnsi="宋体"/>
          <w:color w:val="000000"/>
          <w:szCs w:val="21"/>
          <w:lang w:val="en-US" w:eastAsia="zh-CN"/>
        </w:rPr>
        <w:t>{AgreementStartDate}</w:t>
      </w:r>
      <w:r>
        <w:rPr>
          <w:rFonts w:hint="eastAsia" w:ascii="宋体" w:hAnsi="宋体"/>
          <w:color w:val="000000"/>
          <w:szCs w:val="21"/>
        </w:rPr>
        <w:t>起至</w:t>
      </w:r>
      <w:r>
        <w:rPr>
          <w:rFonts w:hint="eastAsia" w:ascii="宋体" w:hAnsi="宋体"/>
          <w:color w:val="000000"/>
          <w:szCs w:val="21"/>
          <w:lang w:val="en-US" w:eastAsia="zh-CN"/>
        </w:rPr>
        <w:t>{AgreementEndDate}</w:t>
      </w:r>
      <w:r>
        <w:rPr>
          <w:rFonts w:hint="eastAsia" w:ascii="宋体" w:hAnsi="宋体"/>
          <w:color w:val="000000"/>
          <w:szCs w:val="21"/>
        </w:rPr>
        <w:t>止，为期【</w:t>
      </w:r>
      <w:r>
        <w:rPr>
          <w:rFonts w:hint="eastAsia" w:ascii="宋体" w:hAnsi="宋体"/>
          <w:color w:val="000000"/>
          <w:szCs w:val="21"/>
          <w:lang w:val="en-US" w:eastAsia="zh-CN"/>
        </w:rPr>
        <w:t>{Years}</w:t>
      </w:r>
      <w:r>
        <w:rPr>
          <w:rFonts w:hint="eastAsia" w:ascii="宋体" w:hAnsi="宋体"/>
          <w:color w:val="000000"/>
          <w:szCs w:val="21"/>
        </w:rPr>
        <w:t>】年。本协议到期前，如甲乙双方未重新签订，则本协议有效无限期自动顺延。若合同变更，则双方签署《补充协议》为主合同的有效附件，具有同等法律地位。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line="340" w:lineRule="exact"/>
        <w:ind w:left="567" w:leftChars="0" w:hanging="567" w:firstLineChars="0"/>
        <w:rPr>
          <w:rFonts w:ascii="宋体" w:hAnsi="宋体"/>
          <w:color w:val="000000"/>
          <w:szCs w:val="21"/>
        </w:rPr>
      </w:pPr>
      <w:r>
        <w:rPr>
          <w:rFonts w:hint="eastAsia" w:ascii="宋体" w:hAnsi="宋体"/>
          <w:color w:val="000000"/>
          <w:szCs w:val="21"/>
        </w:rPr>
        <w:t>本协议一式两份，甲乙双方各持一份，具有同等法律效力。本协议由双方加盖公章（或合同专用章）后生效。</w:t>
      </w:r>
    </w:p>
    <w:p>
      <w:pPr>
        <w:tabs>
          <w:tab w:val="left" w:pos="1080"/>
        </w:tabs>
        <w:spacing w:line="340" w:lineRule="exact"/>
        <w:ind w:left="567"/>
        <w:rPr>
          <w:rFonts w:ascii="宋体" w:hAnsi="宋体"/>
          <w:color w:val="000000"/>
          <w:szCs w:val="21"/>
        </w:rPr>
      </w:pPr>
    </w:p>
    <w:p>
      <w:pPr>
        <w:spacing w:line="340" w:lineRule="exact"/>
        <w:rPr>
          <w:rFonts w:hint="eastAsia" w:ascii="宋体" w:hAnsi="宋体"/>
          <w:b/>
          <w:color w:val="000000"/>
          <w:szCs w:val="21"/>
        </w:rPr>
      </w:pPr>
      <w:r>
        <w:rPr>
          <w:rFonts w:hint="eastAsia" w:ascii="宋体" w:hAnsi="宋体"/>
          <w:b/>
          <w:color w:val="000000"/>
          <w:szCs w:val="21"/>
        </w:rPr>
        <w:t>附件</w:t>
      </w:r>
      <w:r>
        <w:rPr>
          <w:rFonts w:ascii="宋体" w:hAnsi="宋体"/>
          <w:b/>
          <w:color w:val="000000"/>
          <w:szCs w:val="21"/>
        </w:rPr>
        <w:t>1</w:t>
      </w:r>
      <w:r>
        <w:rPr>
          <w:rFonts w:hint="eastAsia" w:ascii="宋体" w:hAnsi="宋体"/>
          <w:b/>
          <w:color w:val="000000"/>
          <w:szCs w:val="21"/>
        </w:rPr>
        <w:t>：授权书</w:t>
      </w:r>
    </w:p>
    <w:p>
      <w:pPr>
        <w:spacing w:line="340" w:lineRule="exact"/>
        <w:rPr>
          <w:rFonts w:hint="default" w:ascii="宋体" w:hAnsi="宋体" w:eastAsia="宋体"/>
          <w:b/>
          <w:color w:val="000000"/>
          <w:szCs w:val="21"/>
          <w:lang w:val="en-US" w:eastAsia="zh-CN"/>
        </w:rPr>
      </w:pPr>
      <w:r>
        <w:rPr>
          <w:rFonts w:hint="eastAsia" w:ascii="宋体" w:hAnsi="宋体"/>
          <w:b/>
          <w:color w:val="000000"/>
          <w:szCs w:val="21"/>
        </w:rPr>
        <w:t>附件</w:t>
      </w:r>
      <w:r>
        <w:rPr>
          <w:rFonts w:hint="eastAsia" w:ascii="宋体" w:hAnsi="宋体"/>
          <w:b/>
          <w:color w:val="000000"/>
          <w:szCs w:val="21"/>
          <w:lang w:val="en-US" w:eastAsia="zh-CN"/>
        </w:rPr>
        <w:t>2</w:t>
      </w:r>
      <w:r>
        <w:rPr>
          <w:rFonts w:hint="eastAsia" w:ascii="宋体" w:hAnsi="宋体"/>
          <w:b/>
          <w:color w:val="000000"/>
          <w:szCs w:val="21"/>
        </w:rPr>
        <w:t>：</w:t>
      </w:r>
      <w:r>
        <w:rPr>
          <w:rFonts w:hint="eastAsia" w:ascii="宋体" w:hAnsi="宋体"/>
          <w:b/>
          <w:color w:val="000000"/>
          <w:szCs w:val="21"/>
          <w:lang w:val="en-US" w:eastAsia="zh-CN"/>
        </w:rPr>
        <w:t>补充协议</w:t>
      </w:r>
    </w:p>
    <w:p>
      <w:pPr>
        <w:spacing w:line="340" w:lineRule="exact"/>
        <w:rPr>
          <w:rFonts w:hint="eastAsia" w:ascii="宋体" w:hAnsi="宋体"/>
          <w:b/>
          <w:color w:val="000000"/>
          <w:szCs w:val="21"/>
        </w:rPr>
      </w:pPr>
      <w:r>
        <w:rPr>
          <w:rFonts w:hint="eastAsia" w:ascii="宋体" w:hAnsi="宋体"/>
          <w:b/>
          <w:color w:val="000000"/>
          <w:szCs w:val="21"/>
        </w:rPr>
        <w:t>附件</w:t>
      </w:r>
      <w:r>
        <w:rPr>
          <w:rFonts w:hint="eastAsia" w:ascii="宋体" w:hAnsi="宋体"/>
          <w:b/>
          <w:color w:val="000000"/>
          <w:szCs w:val="21"/>
          <w:lang w:val="en-US" w:eastAsia="zh-CN"/>
        </w:rPr>
        <w:t>3</w:t>
      </w:r>
      <w:r>
        <w:rPr>
          <w:rFonts w:hint="eastAsia" w:ascii="宋体" w:hAnsi="宋体"/>
          <w:b/>
          <w:color w:val="000000"/>
          <w:szCs w:val="21"/>
        </w:rPr>
        <w:t>：超重货物收费明细</w:t>
      </w:r>
    </w:p>
    <w:p>
      <w:pPr>
        <w:spacing w:line="340" w:lineRule="exact"/>
        <w:rPr>
          <w:rFonts w:ascii="宋体" w:hAnsi="宋体"/>
          <w:b/>
          <w:color w:val="000000"/>
          <w:szCs w:val="21"/>
        </w:rPr>
      </w:pPr>
      <w:r>
        <w:rPr>
          <w:rFonts w:hint="eastAsia" w:ascii="宋体" w:hAnsi="宋体"/>
          <w:b/>
          <w:color w:val="000000"/>
          <w:szCs w:val="21"/>
        </w:rPr>
        <w:t>附件</w:t>
      </w:r>
      <w:r>
        <w:rPr>
          <w:rFonts w:hint="eastAsia" w:ascii="宋体" w:hAnsi="宋体"/>
          <w:b/>
          <w:color w:val="000000"/>
          <w:szCs w:val="21"/>
          <w:lang w:val="en-US" w:eastAsia="zh-CN"/>
        </w:rPr>
        <w:t>4</w:t>
      </w:r>
      <w:r>
        <w:rPr>
          <w:rFonts w:hint="eastAsia" w:ascii="宋体" w:hAnsi="宋体"/>
          <w:b/>
          <w:color w:val="000000"/>
          <w:szCs w:val="21"/>
        </w:rPr>
        <w:t>：商业合作伙伴贸易安全协议书</w:t>
      </w:r>
    </w:p>
    <w:p>
      <w:pPr>
        <w:spacing w:line="340" w:lineRule="exact"/>
        <w:rPr>
          <w:rFonts w:ascii="宋体" w:hAnsi="宋体"/>
          <w:b/>
          <w:color w:val="000000"/>
          <w:szCs w:val="21"/>
        </w:rPr>
      </w:pPr>
    </w:p>
    <w:p>
      <w:pPr>
        <w:spacing w:line="340" w:lineRule="exact"/>
        <w:rPr>
          <w:rFonts w:ascii="宋体" w:hAnsi="宋体"/>
          <w:b/>
          <w:color w:val="000000" w:themeColor="text1"/>
          <w:szCs w:val="21"/>
          <w14:textFill>
            <w14:solidFill>
              <w14:schemeClr w14:val="tx1"/>
            </w14:solidFill>
          </w14:textFill>
        </w:rPr>
      </w:pPr>
      <w:r>
        <w:rPr>
          <w:rFonts w:hint="eastAsia" w:ascii="宋体" w:hAnsi="宋体"/>
          <w:b/>
          <w:color w:val="000000"/>
          <w:szCs w:val="21"/>
        </w:rPr>
        <w:t>甲方：</w:t>
      </w:r>
      <w:r>
        <w:rPr>
          <w:rFonts w:hint="eastAsia" w:ascii="宋体" w:hAnsi="宋体"/>
          <w:b/>
          <w:color w:val="000000"/>
          <w:szCs w:val="21"/>
          <w:lang w:val="en-US" w:eastAsia="zh-CN"/>
        </w:rPr>
        <w:t>{CompanyName}</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b/>
          <w:color w:val="000000"/>
          <w:szCs w:val="21"/>
        </w:rPr>
      </w:pPr>
      <w:r>
        <w:rPr>
          <w:rFonts w:hint="eastAsia" w:ascii="宋体" w:hAnsi="宋体"/>
          <w:color w:val="000000"/>
          <w:szCs w:val="21"/>
        </w:rPr>
        <w:t>签约日期：</w:t>
      </w: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r>
        <w:rPr>
          <w:rFonts w:hint="eastAsia" w:ascii="宋体" w:hAnsi="宋体"/>
          <w:b/>
          <w:color w:val="000000"/>
          <w:szCs w:val="21"/>
        </w:rPr>
        <w:t>乙方：深圳市</w:t>
      </w:r>
      <w:r>
        <w:rPr>
          <w:rFonts w:hint="eastAsia" w:ascii="宋体" w:hAnsi="宋体"/>
          <w:b/>
          <w:color w:val="000000"/>
          <w:szCs w:val="21"/>
          <w:lang w:val="en-US" w:eastAsia="zh-CN"/>
        </w:rPr>
        <w:t>芯达通</w:t>
      </w:r>
      <w:r>
        <w:rPr>
          <w:rFonts w:hint="eastAsia" w:ascii="宋体" w:hAnsi="宋体"/>
          <w:b/>
          <w:color w:val="000000"/>
          <w:szCs w:val="21"/>
        </w:rPr>
        <w:t>供应链管理有限公司</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pPr>
      <w:r>
        <w:rPr>
          <w:rFonts w:hint="eastAsia" w:ascii="宋体" w:hAnsi="宋体"/>
          <w:color w:val="000000"/>
          <w:szCs w:val="21"/>
        </w:rPr>
        <w:t>签约日期：</w:t>
      </w:r>
    </w:p>
    <w:p>
      <w:pPr>
        <w:pStyle w:val="3"/>
        <w:jc w:val="center"/>
        <w:rPr>
          <w:rFonts w:hint="default" w:ascii="Times New Roman" w:hAnsi="Times New Roman" w:eastAsia="黑体"/>
          <w:color w:val="000000"/>
          <w:lang w:val="en-US" w:eastAsia="zh-CN"/>
        </w:rPr>
      </w:pPr>
      <w:r>
        <w:rPr>
          <w:rFonts w:hint="eastAsia" w:ascii="Times New Roman" w:hAnsi="Times New Roman"/>
          <w:color w:val="000000"/>
          <w:lang w:val="en-US" w:eastAsia="zh-CN"/>
        </w:rPr>
        <w:t>附件1</w:t>
      </w:r>
    </w:p>
    <w:p>
      <w:pPr>
        <w:pStyle w:val="3"/>
        <w:jc w:val="center"/>
        <w:rPr>
          <w:rFonts w:ascii="Times New Roman" w:hAnsi="Times New Roman"/>
          <w:color w:val="000000"/>
        </w:rPr>
      </w:pPr>
      <w:r>
        <w:rPr>
          <w:rFonts w:hint="eastAsia" w:ascii="Times New Roman" w:hAnsi="Times New Roman"/>
          <w:color w:val="000000"/>
        </w:rPr>
        <w:t>授</w:t>
      </w:r>
      <w:r>
        <w:rPr>
          <w:rFonts w:ascii="Times New Roman" w:hAnsi="Times New Roman"/>
          <w:color w:val="000000"/>
        </w:rPr>
        <w:t xml:space="preserve"> </w:t>
      </w:r>
      <w:r>
        <w:rPr>
          <w:rFonts w:hint="eastAsia" w:ascii="Times New Roman" w:hAnsi="Times New Roman"/>
          <w:color w:val="000000"/>
        </w:rPr>
        <w:t>权</w:t>
      </w:r>
      <w:r>
        <w:rPr>
          <w:rFonts w:ascii="Times New Roman" w:hAnsi="Times New Roman"/>
          <w:color w:val="000000"/>
        </w:rPr>
        <w:t xml:space="preserve"> </w:t>
      </w:r>
      <w:r>
        <w:rPr>
          <w:rFonts w:hint="eastAsia" w:ascii="Times New Roman" w:hAnsi="Times New Roman"/>
          <w:color w:val="000000"/>
        </w:rPr>
        <w:t>书</w:t>
      </w:r>
    </w:p>
    <w:p>
      <w:pPr>
        <w:adjustRightInd w:val="0"/>
        <w:snapToGrid w:val="0"/>
        <w:spacing w:after="0" w:line="420" w:lineRule="exact"/>
        <w:ind w:firstLine="420" w:firstLineChars="200"/>
        <w:jc w:val="left"/>
        <w:rPr>
          <w:color w:val="000000"/>
          <w:szCs w:val="21"/>
        </w:rPr>
      </w:pPr>
      <w:r>
        <w:rPr>
          <w:rFonts w:hint="eastAsia"/>
          <w:color w:val="000000"/>
          <w:szCs w:val="21"/>
        </w:rPr>
        <w:t>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line="420" w:lineRule="exact"/>
        <w:ind w:firstLine="420" w:firstLineChars="200"/>
        <w:jc w:val="left"/>
        <w:rPr>
          <w:color w:val="000000"/>
          <w:szCs w:val="21"/>
        </w:rPr>
      </w:pPr>
      <w:r>
        <w:rPr>
          <w:rFonts w:hint="eastAsia"/>
          <w:color w:val="000000"/>
          <w:szCs w:val="21"/>
        </w:rPr>
        <w:t>授权代表签字</w:t>
      </w:r>
      <w:r>
        <w:rPr>
          <w:rFonts w:hint="eastAsia"/>
          <w:color w:val="000000"/>
          <w:szCs w:val="21"/>
          <w:lang w:eastAsia="zh-CN"/>
        </w:rPr>
        <w:t>及印鉴</w:t>
      </w:r>
      <w:r>
        <w:rPr>
          <w:rFonts w:hint="eastAsia"/>
          <w:color w:val="000000"/>
          <w:szCs w:val="21"/>
        </w:rPr>
        <w:t>具体如下：</w:t>
      </w:r>
    </w:p>
    <w:tbl>
      <w:tblPr>
        <w:tblStyle w:val="11"/>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联系电话及邮箱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textAlignment w:val="auto"/>
              <w:rPr>
                <w:color w:val="000000"/>
                <w:kern w:val="0"/>
                <w:sz w:val="20"/>
                <w:szCs w:val="21"/>
              </w:rPr>
            </w:pPr>
            <w:r>
              <w:rPr>
                <w:rFonts w:hint="eastAsia"/>
                <w:color w:val="000000"/>
                <w:kern w:val="0"/>
                <w:sz w:val="20"/>
                <w:szCs w:val="21"/>
              </w:rPr>
              <w:t>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印</w:t>
            </w:r>
          </w:p>
          <w:p>
            <w:pPr>
              <w:adjustRightInd w:val="0"/>
              <w:snapToGrid w:val="0"/>
              <w:spacing w:after="0" w:line="420" w:lineRule="exact"/>
              <w:jc w:val="center"/>
              <w:rPr>
                <w:rFonts w:hint="eastAsia" w:eastAsia="宋体"/>
                <w:color w:val="000000"/>
                <w:kern w:val="0"/>
                <w:sz w:val="20"/>
                <w:szCs w:val="21"/>
                <w:lang w:val="en-US" w:eastAsia="zh-CN"/>
              </w:rPr>
            </w:pPr>
            <w:r>
              <w:rPr>
                <w:rFonts w:hint="eastAsia"/>
                <w:color w:val="000000"/>
                <w:kern w:val="0"/>
                <w:sz w:val="20"/>
                <w:szCs w:val="21"/>
                <w:lang w:val="en-US" w:eastAsia="zh-CN"/>
              </w:rPr>
              <w:t>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line="420" w:lineRule="exact"/>
        <w:jc w:val="left"/>
        <w:rPr>
          <w:color w:val="000000"/>
          <w:szCs w:val="21"/>
        </w:rPr>
      </w:pPr>
    </w:p>
    <w:p>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pPr>
        <w:adjustRightInd w:val="0"/>
        <w:snapToGrid w:val="0"/>
        <w:spacing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年  月  日</w:t>
      </w:r>
    </w:p>
    <w:p>
      <w:pPr>
        <w:pStyle w:val="3"/>
        <w:jc w:val="center"/>
        <w:rPr>
          <w:rFonts w:hint="eastAsia" w:ascii="Times New Roman" w:hAnsi="Times New Roman"/>
          <w:color w:val="000000"/>
          <w:lang w:val="en-US" w:eastAsia="zh-CN"/>
        </w:rPr>
      </w:pPr>
      <w:r>
        <w:rPr>
          <w:rFonts w:hint="eastAsia" w:ascii="Times New Roman" w:hAnsi="Times New Roman"/>
          <w:color w:val="000000"/>
          <w:lang w:val="en-US" w:eastAsia="zh-CN"/>
        </w:rPr>
        <w:t>附件2</w:t>
      </w:r>
    </w:p>
    <w:p>
      <w:pPr>
        <w:pStyle w:val="3"/>
        <w:bidi w:val="0"/>
        <w:jc w:val="center"/>
        <w:rPr>
          <w:rFonts w:hint="default" w:ascii="宋体" w:hAnsi="宋体" w:eastAsia="宋体" w:cs="宋体"/>
          <w:b/>
          <w:bCs/>
          <w:color w:val="000000"/>
          <w:szCs w:val="32"/>
          <w:lang w:val="en-US" w:eastAsia="zh-CN"/>
        </w:rPr>
      </w:pPr>
      <w:r>
        <w:rPr>
          <w:rFonts w:hint="eastAsia"/>
          <w:lang w:val="en-US" w:eastAsia="zh-CN"/>
        </w:rPr>
        <w:t>补充协议</w:t>
      </w:r>
    </w:p>
    <w:p>
      <w:pPr>
        <w:rPr>
          <w:rFonts w:hint="eastAsia" w:asciiTheme="majorEastAsia" w:hAnsiTheme="majorEastAsia" w:eastAsiaTheme="majorEastAsia" w:cstheme="majorEastAsia"/>
          <w:b/>
          <w:bCs/>
          <w:szCs w:val="21"/>
        </w:rPr>
      </w:pPr>
    </w:p>
    <w:p>
      <w:pPr>
        <w:ind w:firstLine="420" w:firstLineChars="200"/>
        <w:rPr>
          <w:rFonts w:asciiTheme="majorEastAsia" w:hAnsiTheme="majorEastAsia" w:eastAsiaTheme="majorEastAsia" w:cstheme="majorEastAsia"/>
          <w:bCs/>
          <w:szCs w:val="21"/>
          <w:u w:val="single"/>
        </w:rPr>
      </w:pPr>
      <w:r>
        <w:rPr>
          <w:rFonts w:hint="eastAsia" w:asciiTheme="majorEastAsia" w:hAnsiTheme="majorEastAsia" w:eastAsiaTheme="majorEastAsia" w:cstheme="majorEastAsia"/>
          <w:bCs/>
          <w:szCs w:val="21"/>
        </w:rPr>
        <w:t>协议开始日期</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{AgreementStartDate}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，协议结束日期</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{AgreementEndDate}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一、结算公式</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人民币开票完税价</w:t>
      </w:r>
      <w:r>
        <w:rPr>
          <w:rFonts w:asciiTheme="minorEastAsia" w:hAnsiTheme="minorEastAsia" w:eastAsiaTheme="minorEastAsia"/>
          <w:szCs w:val="21"/>
        </w:rPr>
        <w:t>=</w:t>
      </w:r>
      <w:r>
        <w:rPr>
          <w:rFonts w:hint="eastAsia" w:asciiTheme="minorEastAsia" w:hAnsiTheme="minorEastAsia" w:eastAsiaTheme="minorEastAsia"/>
          <w:szCs w:val="21"/>
        </w:rPr>
        <w:t>货款+增值税+代理费+关税（如有）+其它杂费。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货款=美金货值*实时汇率；增值税=美金货值*{TaxRateTypeCN}*1.00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.1</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（其中千分之</w:t>
      </w:r>
      <w:r>
        <w:rPr>
          <w:rFonts w:hint="eastAsia" w:asciiTheme="minorEastAsia" w:hAnsiTheme="minorEastAsia" w:eastAsiaTheme="minorEastAsia"/>
          <w:szCs w:val="21"/>
          <w:lang w:val="en-US" w:eastAsia="zh-CN"/>
        </w:rPr>
        <w:t>二</w:t>
      </w:r>
      <w:r>
        <w:rPr>
          <w:rFonts w:hint="eastAsia" w:asciiTheme="minorEastAsia" w:hAnsiTheme="minorEastAsia" w:eastAsiaTheme="minorEastAsia"/>
          <w:szCs w:val="21"/>
        </w:rPr>
        <w:t>为海关要求申报的运费、保费、杂费）；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代理费=美金货值*</w:t>
      </w:r>
      <w:r>
        <w:rPr>
          <w:rFonts w:hint="eastAsia" w:asciiTheme="majorEastAsia" w:hAnsiTheme="majorEastAsia" w:eastAsiaTheme="majorEastAsia" w:cstheme="majorEastAsia"/>
          <w:bCs/>
          <w:color w:val="000000"/>
          <w:szCs w:val="21"/>
          <w:lang w:val="en-US" w:eastAsia="zh-CN"/>
        </w:rPr>
        <w:t>{AgentRateTypeCN}</w:t>
      </w:r>
      <w:r>
        <w:rPr>
          <w:rFonts w:hint="eastAsia" w:asciiTheme="minorEastAsia" w:hAnsiTheme="minorEastAsia" w:eastAsiaTheme="minorEastAsia"/>
          <w:szCs w:val="21"/>
        </w:rPr>
        <w:t>汇率*</w:t>
      </w:r>
      <w:r>
        <w:rPr>
          <w:rFonts w:hint="eastAsia" w:asciiTheme="minorEastAsia" w:hAnsiTheme="minorEastAsia" w:eastAsiaTheme="minorEastAsia"/>
          <w:szCs w:val="21"/>
          <w:lang w:val="en-US" w:eastAsia="zh-CN"/>
        </w:rPr>
        <w:t>代理</w:t>
      </w:r>
      <w:r>
        <w:rPr>
          <w:rFonts w:hint="eastAsia" w:asciiTheme="minorEastAsia" w:hAnsiTheme="minorEastAsia" w:eastAsiaTheme="minorEastAsia"/>
          <w:szCs w:val="21"/>
        </w:rPr>
        <w:t>费率*</w:t>
      </w:r>
      <w:r>
        <w:rPr>
          <w:rFonts w:hint="eastAsia" w:asciiTheme="majorEastAsia" w:hAnsiTheme="majorEastAsia" w:eastAsiaTheme="majorEastAsia" w:cstheme="majorEastAsia"/>
          <w:bCs/>
          <w:color w:val="000000"/>
          <w:szCs w:val="21"/>
          <w:lang w:val="en-US" w:eastAsia="zh-CN"/>
        </w:rPr>
        <w:t>{InvoicePoint}</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关税=美金货</w:t>
      </w:r>
      <w:r>
        <w:rPr>
          <w:rFonts w:hint="eastAsia" w:asciiTheme="minorEastAsia" w:hAnsiTheme="minorEastAsia" w:eastAsiaTheme="minorEastAsia"/>
          <w:szCs w:val="21"/>
          <w:lang w:eastAsia="zh-CN"/>
        </w:rPr>
        <w:t>值</w:t>
      </w:r>
      <w:r>
        <w:rPr>
          <w:rFonts w:hint="eastAsia" w:asciiTheme="minorEastAsia" w:hAnsiTheme="minorEastAsia" w:eastAsiaTheme="minorEastAsia"/>
          <w:szCs w:val="21"/>
        </w:rPr>
        <w:t>*{TaxRateTypeCN}*1.00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*关税率*</w:t>
      </w:r>
      <w:r>
        <w:rPr>
          <w:rFonts w:hint="eastAsia" w:asciiTheme="minorEastAsia" w:hAnsiTheme="minorEastAsia" w:eastAsiaTheme="minorEastAsia"/>
          <w:szCs w:val="21"/>
          <w:lang w:val="en-US" w:eastAsia="zh-CN"/>
        </w:rPr>
        <w:t>1.13</w:t>
      </w:r>
      <w:r>
        <w:rPr>
          <w:rFonts w:hint="eastAsia" w:asciiTheme="minorEastAsia" w:hAnsiTheme="minorEastAsia" w:eastAsiaTheme="minorEastAsia"/>
          <w:szCs w:val="21"/>
        </w:rPr>
        <w:t>; 杂费=实报实销*</w:t>
      </w:r>
      <w:r>
        <w:rPr>
          <w:rFonts w:hint="eastAsia" w:asciiTheme="majorEastAsia" w:hAnsiTheme="majorEastAsia" w:eastAsiaTheme="majorEastAsia" w:cstheme="majorEastAsia"/>
          <w:bCs/>
          <w:color w:val="000000"/>
          <w:szCs w:val="21"/>
          <w:lang w:val="en-US" w:eastAsia="zh-CN"/>
        </w:rPr>
        <w:t>{InvoicePoint}</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宋体" w:hAnsi="宋体"/>
          <w:color w:val="000000" w:themeColor="text1"/>
          <w:szCs w:val="21"/>
          <w14:textFill>
            <w14:solidFill>
              <w14:schemeClr w14:val="tx1"/>
            </w14:solidFill>
          </w14:textFill>
        </w:rPr>
      </w:pPr>
      <w:r>
        <w:rPr>
          <w:rFonts w:hint="eastAsia" w:asciiTheme="minorEastAsia" w:hAnsiTheme="minorEastAsia" w:eastAsiaTheme="minorEastAsia"/>
          <w:color w:val="000000" w:themeColor="text1"/>
          <w:kern w:val="0"/>
          <w:szCs w:val="21"/>
          <w14:textFill>
            <w14:solidFill>
              <w14:schemeClr w14:val="tx1"/>
            </w14:solidFill>
          </w14:textFill>
        </w:rPr>
        <w:t>实时汇率按照进口当天的中国银行上午</w:t>
      </w:r>
      <w:r>
        <w:rPr>
          <w:rFonts w:hint="eastAsia" w:asciiTheme="majorEastAsia" w:hAnsiTheme="majorEastAsia" w:eastAsiaTheme="majorEastAsia" w:cstheme="majorEastAsia"/>
          <w:bCs/>
          <w:color w:val="000000"/>
          <w:szCs w:val="21"/>
          <w:lang w:val="en-US" w:eastAsia="zh-CN"/>
        </w:rPr>
        <w:t>{IsTen}</w:t>
      </w:r>
      <w:r>
        <w:rPr>
          <w:rFonts w:hint="eastAsia" w:asciiTheme="minorEastAsia" w:hAnsiTheme="minorEastAsia" w:eastAsiaTheme="minorEastAsia"/>
          <w:color w:val="000000" w:themeColor="text1"/>
          <w:kern w:val="0"/>
          <w:szCs w:val="21"/>
          <w14:textFill>
            <w14:solidFill>
              <w14:schemeClr w14:val="tx1"/>
            </w14:solidFill>
          </w14:textFill>
        </w:rPr>
        <w:t>后第一个相应外汇卖出价为准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ind w:firstLine="420" w:firstLineChars="200"/>
        <w:jc w:val="left"/>
        <w:rPr>
          <w:rFonts w:asciiTheme="minorEastAsia" w:hAnsiTheme="minorEastAsia" w:eastAsiaTheme="minorEastAsia"/>
          <w:szCs w:val="21"/>
        </w:rPr>
      </w:pPr>
      <w:r>
        <w:rPr>
          <w:rFonts w:hint="eastAsia" w:asciiTheme="minorEastAsia" w:hAnsiTheme="minorEastAsia" w:eastAsiaTheme="minorEastAsia"/>
          <w:color w:val="000000" w:themeColor="text1"/>
          <w:kern w:val="0"/>
          <w:szCs w:val="21"/>
          <w14:textFill>
            <w14:solidFill>
              <w14:schemeClr w14:val="tx1"/>
            </w14:solidFill>
          </w14:textFill>
        </w:rPr>
        <w:t>海关汇率按照进口当天海关汇率为准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jc w:val="left"/>
        <w:rPr>
          <w:rFonts w:asciiTheme="minorEastAsia" w:hAnsiTheme="minorEastAsia" w:eastAsiaTheme="minorEastAsia"/>
          <w:szCs w:val="21"/>
        </w:rPr>
      </w:pPr>
      <w:r>
        <w:rPr>
          <w:rFonts w:hint="eastAsia" w:asciiTheme="minorEastAsia" w:hAnsiTheme="minorEastAsia" w:eastAsiaTheme="minorEastAsia"/>
          <w:szCs w:val="21"/>
        </w:rPr>
        <w:t>二、具体报价及结算约定</w:t>
      </w:r>
    </w:p>
    <w:p>
      <w:pPr>
        <w:numPr>
          <w:ilvl w:val="0"/>
          <w:numId w:val="1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货款：  </w:t>
      </w:r>
      <w:r>
        <w:rPr>
          <w:rFonts w:hint="eastAsia" w:asciiTheme="majorEastAsia" w:hAnsiTheme="majorEastAsia" w:eastAsiaTheme="majorEastAsia" w:cstheme="majorEastAsia"/>
          <w:bCs/>
          <w:color w:val="000000"/>
          <w:szCs w:val="21"/>
          <w:lang w:val="en-US" w:eastAsia="zh-CN"/>
        </w:rPr>
        <w:t>{GoodsPayExchange90}</w:t>
      </w:r>
      <w:r>
        <w:rPr>
          <w:rFonts w:hint="eastAsia" w:asciiTheme="majorEastAsia" w:hAnsiTheme="majorEastAsia" w:eastAsiaTheme="majorEastAsia" w:cstheme="majorEastAsia"/>
          <w:bCs/>
          <w:color w:val="000000"/>
          <w:szCs w:val="21"/>
        </w:rPr>
        <w:t>90天内换汇；</w:t>
      </w:r>
      <w:r>
        <w:rPr>
          <w:rFonts w:hint="eastAsia" w:asciiTheme="majorEastAsia" w:hAnsiTheme="majorEastAsia" w:eastAsiaTheme="majorEastAsia" w:cstheme="majorEastAsia"/>
          <w:bCs/>
          <w:color w:val="000000"/>
          <w:szCs w:val="21"/>
          <w:lang w:val="en-US" w:eastAsia="zh-CN"/>
        </w:rPr>
        <w:t xml:space="preserve"> {GoodsPayExchangePre}预换汇；</w:t>
      </w:r>
    </w:p>
    <w:p>
      <w:pPr>
        <w:numPr>
          <w:ilvl w:val="0"/>
          <w:numId w:val="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    </w:t>
      </w:r>
      <w:r>
        <w:rPr>
          <w:rFonts w:hint="eastAsia" w:asciiTheme="majorEastAsia" w:hAnsiTheme="majorEastAsia" w:eastAsiaTheme="majorEastAsia" w:cstheme="majorEastAsia"/>
          <w:bCs/>
          <w:color w:val="000000"/>
          <w:szCs w:val="21"/>
          <w:lang w:val="en-US" w:eastAsia="zh-CN"/>
        </w:rPr>
        <w:t xml:space="preserve">         {GoodsPaymentTypePre}预付款</w:t>
      </w:r>
      <w:r>
        <w:rPr>
          <w:rFonts w:hint="eastAsia" w:asciiTheme="majorEastAsia" w:hAnsiTheme="majorEastAsia" w:eastAsiaTheme="majorEastAsia" w:cstheme="majorEastAsia"/>
          <w:bCs/>
          <w:color w:val="000000"/>
          <w:szCs w:val="21"/>
        </w:rPr>
        <w:t>；</w:t>
      </w:r>
    </w:p>
    <w:p>
      <w:pPr>
        <w:adjustRightInd w:val="0"/>
        <w:snapToGrid w:val="0"/>
        <w:ind w:firstLine="1365" w:firstLineChars="650"/>
        <w:jc w:val="left"/>
        <w:rPr>
          <w:rFonts w:hint="eastAsia" w:asciiTheme="majorEastAsia" w:hAnsiTheme="majorEastAsia" w:eastAsiaTheme="majorEastAsia" w:cstheme="majorEastAsia"/>
          <w:bCs/>
          <w:color w:val="000000"/>
          <w:szCs w:val="21"/>
          <w:lang w:eastAsia="zh-CN"/>
        </w:rPr>
      </w:pPr>
      <w:r>
        <w:rPr>
          <w:rFonts w:hint="eastAsia" w:asciiTheme="majorEastAsia" w:hAnsiTheme="majorEastAsia" w:eastAsiaTheme="majorEastAsia" w:cstheme="majorEastAsia"/>
          <w:bCs/>
          <w:color w:val="000000"/>
          <w:szCs w:val="21"/>
          <w:lang w:val="en-US" w:eastAsia="zh-CN"/>
        </w:rPr>
        <w:t>{GoodsPaymentTypeLimit}</w:t>
      </w:r>
      <w:r>
        <w:rPr>
          <w:rFonts w:hint="eastAsia" w:asciiTheme="majorEastAsia" w:hAnsiTheme="majorEastAsia" w:eastAsiaTheme="majorEastAsia" w:cstheme="majorEastAsia"/>
          <w:bCs/>
          <w:color w:val="000000"/>
          <w:szCs w:val="21"/>
        </w:rPr>
        <w:t>垫付，垫付</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r>
        <w:rPr>
          <w:rFonts w:hint="eastAsia" w:asciiTheme="majorEastAsia" w:hAnsiTheme="majorEastAsia" w:eastAsiaTheme="majorEastAsia" w:cstheme="majorEastAsia"/>
          <w:bCs/>
          <w:color w:val="000000"/>
          <w:szCs w:val="21"/>
          <w:lang w:eastAsia="zh-CN"/>
        </w:rPr>
        <w:t>；</w:t>
      </w:r>
    </w:p>
    <w:p>
      <w:pPr>
        <w:adjustRightInd w:val="0"/>
        <w:snapToGrid w:val="0"/>
        <w:ind w:firstLine="1365" w:firstLineChars="650"/>
        <w:jc w:val="left"/>
        <w:rPr>
          <w:rFonts w:hint="eastAsia" w:asciiTheme="majorEastAsia" w:hAnsiTheme="majorEastAsia" w:eastAsiaTheme="majorEastAsia" w:cstheme="majorEastAsia"/>
          <w:bCs/>
          <w:color w:val="000000"/>
          <w:szCs w:val="21"/>
          <w:lang w:eastAsia="zh-CN"/>
        </w:rPr>
      </w:pPr>
      <w:r>
        <w:rPr>
          <w:rFonts w:hint="eastAsia"/>
          <w:bCs/>
          <w:szCs w:val="21"/>
          <w:u w:val="single"/>
        </w:rPr>
        <w:t>垫付货款：每月增加1%代理费，根据实际天数、金额计算。</w:t>
      </w:r>
    </w:p>
    <w:p>
      <w:pPr>
        <w:adjustRightInd w:val="0"/>
        <w:snapToGrid w:val="0"/>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{GoodsPaymentRateTypeReal}</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{GoodsPaymentRateTypeAgree}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w:t>
      </w:r>
    </w:p>
    <w:p>
      <w:pPr>
        <w:numPr>
          <w:ilvl w:val="0"/>
          <w:numId w:val="10"/>
        </w:numPr>
        <w:adjustRightInd w:val="0"/>
        <w:snapToGrid w:val="0"/>
        <w:spacing w:line="420" w:lineRule="exact"/>
        <w:ind w:left="0" w:leftChars="0" w:firstLine="0" w:firstLineChars="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税款：  </w:t>
      </w:r>
      <w:r>
        <w:rPr>
          <w:rFonts w:hint="eastAsia" w:asciiTheme="majorEastAsia" w:hAnsiTheme="majorEastAsia" w:eastAsiaTheme="majorEastAsia" w:cstheme="majorEastAsia"/>
          <w:bCs/>
          <w:color w:val="000000"/>
          <w:szCs w:val="21"/>
          <w:lang w:val="en-US" w:eastAsia="zh-CN"/>
        </w:rPr>
        <w:t>{TaxPaymentTypePre}</w:t>
      </w:r>
      <w:r>
        <w:rPr>
          <w:rFonts w:hint="eastAsia" w:asciiTheme="majorEastAsia" w:hAnsiTheme="majorEastAsia" w:eastAsiaTheme="majorEastAsia" w:cstheme="majorEastAsia"/>
          <w:bCs/>
          <w:color w:val="000000"/>
          <w:szCs w:val="21"/>
        </w:rPr>
        <w:t xml:space="preserve">预付款；  </w:t>
      </w:r>
      <w:r>
        <w:rPr>
          <w:rFonts w:hint="eastAsia" w:asciiTheme="majorEastAsia" w:hAnsiTheme="majorEastAsia" w:eastAsiaTheme="majorEastAsia" w:cstheme="majorEastAsia"/>
          <w:bCs/>
          <w:color w:val="000000"/>
          <w:szCs w:val="21"/>
          <w:lang w:val="en-US" w:eastAsia="zh-CN"/>
        </w:rPr>
        <w:t>{TaxPaymentTypeMon}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 xml:space="preserve">{TaxPaymentMonthDay}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lang w:val="en-US" w:eastAsia="zh-CN"/>
        </w:rPr>
        <w:t xml:space="preserve"> </w:t>
      </w:r>
      <w:r>
        <w:rPr>
          <w:rFonts w:hint="eastAsia" w:asciiTheme="majorEastAsia" w:hAnsiTheme="majorEastAsia" w:eastAsiaTheme="majorEastAsia" w:cstheme="majorEastAsia"/>
          <w:bCs/>
          <w:color w:val="000000"/>
          <w:szCs w:val="21"/>
          <w:u w:val="single"/>
          <w:lang w:val="en-US" w:eastAsia="zh-CN"/>
        </w:rPr>
        <w:t xml:space="preserve">{TaxPaymentMonMax}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{TaxPaymentTypeLimit}</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lang w:val="en-US" w:eastAsia="zh-CN"/>
        </w:rPr>
        <w:t xml:space="preserve"> {TaxpaymentLimitDay}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{TaxPaymentRateTypeReal}实时汇率；</w:t>
      </w:r>
      <w:bookmarkStart w:id="0" w:name="_GoBack"/>
      <w:bookmarkEnd w:id="0"/>
      <w:r>
        <w:rPr>
          <w:rFonts w:hint="eastAsia" w:asciiTheme="majorEastAsia" w:hAnsiTheme="majorEastAsia" w:eastAsiaTheme="majorEastAsia" w:cstheme="majorEastAsia"/>
          <w:bCs/>
          <w:color w:val="000000"/>
          <w:szCs w:val="21"/>
          <w:lang w:val="en-US" w:eastAsia="zh-CN"/>
        </w:rPr>
        <w:t>{TaxPaymentRateTypeCustoms}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{TaxPaymentRateTypeAgree}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w:t>
      </w:r>
    </w:p>
    <w:p>
      <w:pPr>
        <w:numPr>
          <w:ilvl w:val="0"/>
          <w:numId w:val="1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代理费： 费率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{ServiceChargePoint}</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，最低收费</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{MinimumAgent}</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元/单。</w:t>
      </w:r>
    </w:p>
    <w:p>
      <w:pPr>
        <w:adjustRightInd w:val="0"/>
        <w:snapToGrid w:val="0"/>
        <w:spacing w:line="420" w:lineRule="exact"/>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{AgentPaymentTypePre}</w:t>
      </w:r>
      <w:r>
        <w:rPr>
          <w:rFonts w:hint="eastAsia" w:asciiTheme="majorEastAsia" w:hAnsiTheme="majorEastAsia" w:eastAsiaTheme="majorEastAsia" w:cstheme="majorEastAsia"/>
          <w:bCs/>
          <w:color w:val="000000"/>
          <w:szCs w:val="21"/>
        </w:rPr>
        <w:t xml:space="preserve">预付款；  </w:t>
      </w:r>
      <w:r>
        <w:rPr>
          <w:rFonts w:hint="eastAsia" w:asciiTheme="majorEastAsia" w:hAnsiTheme="majorEastAsia" w:eastAsiaTheme="majorEastAsia" w:cstheme="majorEastAsia"/>
          <w:bCs/>
          <w:color w:val="000000"/>
          <w:szCs w:val="21"/>
          <w:lang w:val="en-US" w:eastAsia="zh-CN"/>
        </w:rPr>
        <w:t>{AgentPaymentTypeMon}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{AgentPaymentMonMax}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{AgentPaymentTypeLimit}</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{AgentPaymentRateTypeReal}</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{AgentPaymentRateTypeCustoms}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{AgentPaymentRateTypeAgree}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w:t>
      </w:r>
    </w:p>
    <w:p>
      <w:p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（4）杂费：  </w:t>
      </w:r>
      <w:r>
        <w:rPr>
          <w:rFonts w:hint="eastAsia" w:asciiTheme="majorEastAsia" w:hAnsiTheme="majorEastAsia" w:eastAsiaTheme="majorEastAsia" w:cstheme="majorEastAsia"/>
          <w:bCs/>
          <w:color w:val="000000"/>
          <w:szCs w:val="21"/>
          <w:lang w:val="en-US" w:eastAsia="zh-CN"/>
        </w:rPr>
        <w:t>{OtherPaymentTypePre}</w:t>
      </w:r>
      <w:r>
        <w:rPr>
          <w:rFonts w:hint="eastAsia" w:asciiTheme="majorEastAsia" w:hAnsiTheme="majorEastAsia" w:eastAsiaTheme="majorEastAsia" w:cstheme="majorEastAsia"/>
          <w:bCs/>
          <w:color w:val="000000"/>
          <w:szCs w:val="21"/>
        </w:rPr>
        <w:t xml:space="preserve">预付款；  </w:t>
      </w:r>
      <w:r>
        <w:rPr>
          <w:rFonts w:hint="eastAsia" w:asciiTheme="majorEastAsia" w:hAnsiTheme="majorEastAsia" w:eastAsiaTheme="majorEastAsia" w:cstheme="majorEastAsia"/>
          <w:bCs/>
          <w:color w:val="000000"/>
          <w:szCs w:val="21"/>
          <w:lang w:val="en-US" w:eastAsia="zh-CN"/>
        </w:rPr>
        <w:t>{OtherPaymentTypeMon}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{OtherPaymentMonMax}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{OtherPaymentTypeLimit}</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三、开具发票</w:t>
      </w:r>
    </w:p>
    <w:p>
      <w:pPr>
        <w:adjustRightInd w:val="0"/>
        <w:snapToGrid w:val="0"/>
        <w:spacing w:line="420" w:lineRule="exact"/>
        <w:ind w:firstLine="105" w:firstLineChars="50"/>
        <w:jc w:val="left"/>
        <w:rPr>
          <w:rFonts w:asciiTheme="majorEastAsia" w:hAnsiTheme="majorEastAsia" w:eastAsiaTheme="majorEastAsia" w:cstheme="majorEastAsia"/>
          <w:bCs/>
          <w:color w:val="000000"/>
          <w:szCs w:val="21"/>
        </w:rPr>
      </w:pPr>
      <w:r>
        <w:rPr>
          <w:rFonts w:hint="eastAsia"/>
          <w:szCs w:val="21"/>
        </w:rPr>
        <w:t>（1）开票类型：</w:t>
      </w:r>
      <w:r>
        <w:rPr>
          <w:rFonts w:hint="eastAsia"/>
          <w:szCs w:val="21"/>
          <w:lang w:val="en-US" w:eastAsia="zh-CN"/>
        </w:rPr>
        <w:t>{InvoiceType}</w:t>
      </w:r>
      <w:r>
        <w:rPr>
          <w:rFonts w:hint="eastAsia" w:ascii="宋体" w:hAnsi="宋体"/>
          <w:kern w:val="0"/>
          <w:szCs w:val="21"/>
        </w:rPr>
        <w:t>签署内贸合同，</w:t>
      </w:r>
      <w:r>
        <w:rPr>
          <w:rFonts w:hint="eastAsia"/>
          <w:szCs w:val="21"/>
        </w:rPr>
        <w:t>开票增值税专用发票；</w:t>
      </w:r>
      <w:r>
        <w:rPr>
          <w:rFonts w:hint="eastAsia" w:asciiTheme="majorEastAsia" w:hAnsiTheme="majorEastAsia" w:eastAsiaTheme="majorEastAsia" w:cstheme="majorEastAsia"/>
          <w:bCs/>
          <w:color w:val="000000"/>
          <w:szCs w:val="21"/>
          <w:lang w:val="en-US" w:eastAsia="zh-CN"/>
        </w:rPr>
        <w:t>{InvoiceTypeService}</w:t>
      </w:r>
      <w:r>
        <w:rPr>
          <w:rFonts w:hint="eastAsia"/>
          <w:szCs w:val="21"/>
        </w:rPr>
        <w:t>海关发票+服务票发票。</w:t>
      </w: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pStyle w:val="3"/>
        <w:jc w:val="center"/>
        <w:rPr>
          <w:rFonts w:hint="eastAsia" w:ascii="Times New Roman" w:hAnsi="Times New Roman"/>
          <w:color w:val="000000"/>
          <w:lang w:val="en-US" w:eastAsia="zh-CN"/>
        </w:rPr>
      </w:pPr>
      <w:r>
        <w:rPr>
          <w:rFonts w:hint="eastAsia" w:ascii="Times New Roman" w:hAnsi="Times New Roman"/>
          <w:color w:val="000000"/>
          <w:lang w:val="en-US" w:eastAsia="zh-CN"/>
        </w:rPr>
        <w:t>附件3</w:t>
      </w:r>
    </w:p>
    <w:p>
      <w:pPr>
        <w:pStyle w:val="3"/>
        <w:bidi w:val="0"/>
        <w:jc w:val="center"/>
        <w:rPr>
          <w:rFonts w:hint="eastAsia"/>
          <w:lang w:val="en-US" w:eastAsia="zh-CN"/>
        </w:rPr>
      </w:pPr>
      <w:r>
        <w:rPr>
          <w:rFonts w:hint="eastAsia"/>
          <w:lang w:val="en-US" w:eastAsia="zh-CN"/>
        </w:rPr>
        <w:t>超重货物额外收费明细表</w:t>
      </w:r>
    </w:p>
    <w:p>
      <w:pPr>
        <w:spacing w:line="340" w:lineRule="exact"/>
        <w:jc w:val="right"/>
        <w:rPr>
          <w:rFonts w:ascii="宋体" w:cs="Times New Roman"/>
          <w:b/>
          <w:bCs/>
          <w:color w:val="000000"/>
        </w:rPr>
      </w:pPr>
      <w:r>
        <w:rPr>
          <w:rFonts w:hint="eastAsia" w:ascii="宋体" w:hAnsi="宋体" w:cs="宋体"/>
          <w:b/>
          <w:bCs/>
          <w:color w:val="000000"/>
        </w:rPr>
        <w:t>币种：</w:t>
      </w:r>
      <w:r>
        <w:rPr>
          <w:rFonts w:ascii="宋体" w:hAnsi="宋体" w:cs="宋体"/>
          <w:b/>
          <w:bCs/>
          <w:color w:val="000000"/>
        </w:rPr>
        <w:t>RMB</w:t>
      </w:r>
    </w:p>
    <w:tbl>
      <w:tblPr>
        <w:tblStyle w:val="11"/>
        <w:tblW w:w="852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hint="eastAsia" w:ascii="宋体" w:hAnsi="宋体" w:cs="宋体"/>
                <w:b/>
                <w:bCs/>
                <w:color w:val="000000"/>
              </w:rPr>
              <w:t>重量（</w:t>
            </w:r>
            <w:r>
              <w:rPr>
                <w:rFonts w:ascii="宋体" w:hAnsi="宋体" w:cs="宋体"/>
                <w:b/>
                <w:bCs/>
                <w:color w:val="000000"/>
              </w:rPr>
              <w:t>KGS</w:t>
            </w:r>
            <w:r>
              <w:rPr>
                <w:rFonts w:hint="eastAsia" w:ascii="宋体" w:hAnsi="宋体" w:cs="宋体"/>
                <w:b/>
                <w:bCs/>
                <w:color w:val="000000"/>
              </w:rPr>
              <w:t>）</w:t>
            </w:r>
            <w:r>
              <w:rPr>
                <w:rFonts w:ascii="宋体" w:hAnsi="宋体" w:cs="宋体"/>
                <w:b/>
                <w:bCs/>
                <w:color w:val="000000"/>
              </w:rPr>
              <w:t>/</w:t>
            </w:r>
            <w:r>
              <w:rPr>
                <w:rFonts w:hint="eastAsia" w:ascii="宋体" w:hAnsi="宋体" w:cs="宋体"/>
                <w:b/>
                <w:bCs/>
                <w:color w:val="000000"/>
              </w:rPr>
              <w:t>货值（</w:t>
            </w:r>
            <w:r>
              <w:rPr>
                <w:rFonts w:ascii="宋体" w:hAnsi="宋体" w:cs="宋体"/>
                <w:b/>
                <w:bCs/>
                <w:color w:val="000000"/>
              </w:rPr>
              <w:t>USD</w:t>
            </w:r>
            <w:r>
              <w:rPr>
                <w:rFonts w:hint="eastAsia" w:ascii="宋体" w:hAnsi="宋体" w:cs="宋体"/>
                <w:b/>
                <w:bCs/>
                <w:color w:val="000000"/>
              </w:rPr>
              <w:t>）</w:t>
            </w:r>
          </w:p>
        </w:tc>
        <w:tc>
          <w:tcPr>
            <w:tcW w:w="804" w:type="dxa"/>
            <w:vAlign w:val="center"/>
          </w:tcPr>
          <w:p>
            <w:pPr>
              <w:widowControl/>
              <w:jc w:val="center"/>
              <w:rPr>
                <w:rFonts w:ascii="宋体" w:cs="Times New Roman"/>
                <w:b/>
                <w:bCs/>
                <w:color w:val="000000"/>
              </w:rPr>
            </w:pPr>
            <w:r>
              <w:rPr>
                <w:rFonts w:ascii="宋体" w:hAnsi="宋体" w:cs="宋体"/>
                <w:b/>
                <w:bCs/>
                <w:color w:val="000000"/>
              </w:rPr>
              <w:t>100</w:t>
            </w:r>
          </w:p>
        </w:tc>
        <w:tc>
          <w:tcPr>
            <w:tcW w:w="805" w:type="dxa"/>
            <w:vAlign w:val="center"/>
          </w:tcPr>
          <w:p>
            <w:pPr>
              <w:widowControl/>
              <w:jc w:val="center"/>
              <w:rPr>
                <w:rFonts w:ascii="宋体" w:cs="Times New Roman"/>
                <w:b/>
                <w:bCs/>
                <w:color w:val="000000"/>
              </w:rPr>
            </w:pPr>
            <w:r>
              <w:rPr>
                <w:rFonts w:ascii="宋体" w:hAnsi="宋体" w:cs="宋体"/>
                <w:b/>
                <w:bCs/>
                <w:color w:val="000000"/>
              </w:rPr>
              <w:t>200</w:t>
            </w:r>
          </w:p>
        </w:tc>
        <w:tc>
          <w:tcPr>
            <w:tcW w:w="805" w:type="dxa"/>
            <w:vAlign w:val="center"/>
          </w:tcPr>
          <w:p>
            <w:pPr>
              <w:widowControl/>
              <w:jc w:val="center"/>
              <w:rPr>
                <w:rFonts w:ascii="宋体" w:cs="Times New Roman"/>
                <w:b/>
                <w:bCs/>
                <w:color w:val="000000"/>
              </w:rPr>
            </w:pPr>
            <w:r>
              <w:rPr>
                <w:rFonts w:ascii="宋体" w:hAnsi="宋体" w:cs="宋体"/>
                <w:b/>
                <w:bCs/>
                <w:color w:val="000000"/>
              </w:rPr>
              <w:t>300</w:t>
            </w:r>
          </w:p>
        </w:tc>
        <w:tc>
          <w:tcPr>
            <w:tcW w:w="638" w:type="dxa"/>
            <w:vAlign w:val="center"/>
          </w:tcPr>
          <w:p>
            <w:pPr>
              <w:widowControl/>
              <w:jc w:val="center"/>
              <w:rPr>
                <w:rFonts w:ascii="宋体" w:cs="Times New Roman"/>
                <w:b/>
                <w:bCs/>
                <w:color w:val="000000"/>
              </w:rPr>
            </w:pPr>
            <w:r>
              <w:rPr>
                <w:rFonts w:ascii="宋体" w:hAnsi="宋体" w:cs="宋体"/>
                <w:b/>
                <w:bCs/>
                <w:color w:val="000000"/>
              </w:rPr>
              <w:t>400</w:t>
            </w:r>
          </w:p>
        </w:tc>
        <w:tc>
          <w:tcPr>
            <w:tcW w:w="639" w:type="dxa"/>
            <w:vAlign w:val="center"/>
          </w:tcPr>
          <w:p>
            <w:pPr>
              <w:widowControl/>
              <w:jc w:val="center"/>
              <w:rPr>
                <w:rFonts w:ascii="宋体" w:cs="Times New Roman"/>
                <w:b/>
                <w:bCs/>
                <w:color w:val="000000"/>
              </w:rPr>
            </w:pPr>
            <w:r>
              <w:rPr>
                <w:rFonts w:ascii="宋体" w:hAnsi="宋体" w:cs="宋体"/>
                <w:b/>
                <w:bCs/>
                <w:color w:val="000000"/>
              </w:rPr>
              <w:t>500</w:t>
            </w:r>
          </w:p>
        </w:tc>
        <w:tc>
          <w:tcPr>
            <w:tcW w:w="639" w:type="dxa"/>
            <w:vAlign w:val="center"/>
          </w:tcPr>
          <w:p>
            <w:pPr>
              <w:widowControl/>
              <w:jc w:val="center"/>
              <w:rPr>
                <w:rFonts w:ascii="宋体" w:cs="Times New Roman"/>
                <w:b/>
                <w:bCs/>
                <w:color w:val="000000"/>
              </w:rPr>
            </w:pPr>
            <w:r>
              <w:rPr>
                <w:rFonts w:ascii="宋体" w:hAnsi="宋体" w:cs="宋体"/>
                <w:b/>
                <w:bCs/>
                <w:color w:val="000000"/>
              </w:rPr>
              <w:t>600</w:t>
            </w:r>
          </w:p>
        </w:tc>
        <w:tc>
          <w:tcPr>
            <w:tcW w:w="639" w:type="dxa"/>
            <w:vAlign w:val="center"/>
          </w:tcPr>
          <w:p>
            <w:pPr>
              <w:widowControl/>
              <w:jc w:val="center"/>
              <w:rPr>
                <w:rFonts w:ascii="宋体" w:cs="Times New Roman"/>
                <w:b/>
                <w:bCs/>
                <w:color w:val="000000"/>
              </w:rPr>
            </w:pPr>
            <w:r>
              <w:rPr>
                <w:rFonts w:ascii="宋体" w:hAnsi="宋体" w:cs="宋体"/>
                <w:b/>
                <w:bCs/>
                <w:color w:val="000000"/>
              </w:rPr>
              <w:t>700</w:t>
            </w:r>
          </w:p>
        </w:tc>
        <w:tc>
          <w:tcPr>
            <w:tcW w:w="639" w:type="dxa"/>
            <w:vAlign w:val="center"/>
          </w:tcPr>
          <w:p>
            <w:pPr>
              <w:widowControl/>
              <w:jc w:val="center"/>
              <w:rPr>
                <w:rFonts w:ascii="宋体" w:cs="Times New Roman"/>
                <w:b/>
                <w:bCs/>
                <w:color w:val="000000"/>
              </w:rPr>
            </w:pPr>
            <w:r>
              <w:rPr>
                <w:rFonts w:ascii="宋体" w:hAnsi="宋体" w:cs="宋体"/>
                <w:b/>
                <w:bCs/>
                <w:color w:val="000000"/>
              </w:rPr>
              <w:t>800</w:t>
            </w:r>
          </w:p>
        </w:tc>
        <w:tc>
          <w:tcPr>
            <w:tcW w:w="654" w:type="dxa"/>
            <w:vAlign w:val="center"/>
          </w:tcPr>
          <w:p>
            <w:pPr>
              <w:widowControl/>
              <w:jc w:val="center"/>
              <w:rPr>
                <w:rFonts w:ascii="宋体" w:cs="Times New Roman"/>
                <w:b/>
                <w:bCs/>
                <w:color w:val="000000"/>
              </w:rPr>
            </w:pPr>
            <w:r>
              <w:rPr>
                <w:rFonts w:ascii="宋体" w:hAnsi="宋体" w:cs="宋体"/>
                <w:b/>
                <w:bCs/>
                <w:color w:val="000000"/>
              </w:rPr>
              <w:t>900</w:t>
            </w:r>
          </w:p>
        </w:tc>
        <w:tc>
          <w:tcPr>
            <w:tcW w:w="655" w:type="dxa"/>
            <w:vAlign w:val="center"/>
          </w:tcPr>
          <w:p>
            <w:pPr>
              <w:widowControl/>
              <w:jc w:val="center"/>
              <w:rPr>
                <w:rFonts w:ascii="宋体" w:cs="Times New Roman"/>
                <w:b/>
                <w:bCs/>
                <w:color w:val="000000"/>
              </w:rPr>
            </w:pPr>
            <w:r>
              <w:rPr>
                <w:rFonts w:ascii="宋体" w:hAnsi="宋体" w:cs="宋体"/>
                <w:b/>
                <w:bCs/>
                <w:color w:val="000000"/>
              </w:rPr>
              <w:t>1000</w:t>
            </w:r>
          </w:p>
        </w:tc>
        <w:tc>
          <w:tcPr>
            <w:tcW w:w="655" w:type="dxa"/>
            <w:vAlign w:val="center"/>
          </w:tcPr>
          <w:p>
            <w:pPr>
              <w:widowControl/>
              <w:jc w:val="center"/>
              <w:rPr>
                <w:rFonts w:ascii="宋体" w:cs="Times New Roman"/>
                <w:b/>
                <w:bCs/>
                <w:color w:val="000000"/>
              </w:rPr>
            </w:pPr>
            <w:r>
              <w:rPr>
                <w:rFonts w:ascii="宋体" w:hAnsi="宋体" w:cs="宋体"/>
                <w:b/>
                <w:bCs/>
                <w:color w:val="00000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2W</w:t>
            </w:r>
            <w:r>
              <w:rPr>
                <w:rFonts w:hint="eastAsia" w:ascii="宋体" w:hAnsi="宋体" w:cs="宋体"/>
                <w:color w:val="000000"/>
              </w:rPr>
              <w:t>以下</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805" w:type="dxa"/>
            <w:vAlign w:val="center"/>
          </w:tcPr>
          <w:p>
            <w:pPr>
              <w:widowControl/>
              <w:jc w:val="center"/>
              <w:rPr>
                <w:rFonts w:ascii="宋体" w:cs="Times New Roman"/>
                <w:color w:val="000000"/>
              </w:rPr>
            </w:pPr>
            <w:r>
              <w:rPr>
                <w:rFonts w:ascii="宋体" w:hAnsi="宋体" w:cs="宋体"/>
                <w:color w:val="000000"/>
              </w:rPr>
              <w:t>200</w:t>
            </w:r>
          </w:p>
        </w:tc>
        <w:tc>
          <w:tcPr>
            <w:tcW w:w="638"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500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39" w:type="dxa"/>
            <w:vAlign w:val="center"/>
          </w:tcPr>
          <w:p>
            <w:pPr>
              <w:widowControl/>
              <w:jc w:val="center"/>
              <w:rPr>
                <w:rFonts w:ascii="宋体" w:cs="Times New Roman"/>
                <w:color w:val="000000"/>
              </w:rPr>
            </w:pPr>
            <w:r>
              <w:rPr>
                <w:rFonts w:ascii="宋体" w:hAnsi="宋体" w:cs="宋体"/>
                <w:color w:val="000000"/>
              </w:rPr>
              <w:t>800</w:t>
            </w:r>
          </w:p>
        </w:tc>
        <w:tc>
          <w:tcPr>
            <w:tcW w:w="654" w:type="dxa"/>
            <w:vAlign w:val="center"/>
          </w:tcPr>
          <w:p>
            <w:pPr>
              <w:widowControl/>
              <w:jc w:val="center"/>
              <w:rPr>
                <w:rFonts w:ascii="宋体" w:cs="Times New Roman"/>
                <w:color w:val="000000"/>
              </w:rPr>
            </w:pPr>
            <w:r>
              <w:rPr>
                <w:rFonts w:ascii="宋体" w:hAnsi="宋体" w:cs="宋体"/>
                <w:color w:val="000000"/>
              </w:rPr>
              <w:t>900</w:t>
            </w:r>
          </w:p>
        </w:tc>
        <w:tc>
          <w:tcPr>
            <w:tcW w:w="655" w:type="dxa"/>
            <w:vAlign w:val="center"/>
          </w:tcPr>
          <w:p>
            <w:pPr>
              <w:widowControl/>
              <w:jc w:val="center"/>
              <w:rPr>
                <w:rFonts w:ascii="宋体" w:cs="Times New Roman"/>
                <w:color w:val="000000"/>
              </w:rPr>
            </w:pPr>
            <w:r>
              <w:rPr>
                <w:rFonts w:ascii="宋体" w:hAnsi="宋体" w:cs="宋体"/>
                <w:color w:val="000000"/>
              </w:rPr>
              <w:t>1200</w:t>
            </w:r>
          </w:p>
        </w:tc>
        <w:tc>
          <w:tcPr>
            <w:tcW w:w="655" w:type="dxa"/>
            <w:vAlign w:val="center"/>
          </w:tcPr>
          <w:p>
            <w:pPr>
              <w:widowControl/>
              <w:jc w:val="center"/>
              <w:rPr>
                <w:rFonts w:ascii="宋体" w:cs="Times New Roman"/>
                <w:color w:val="000000"/>
              </w:rPr>
            </w:pPr>
            <w:r>
              <w:rPr>
                <w:rFonts w:ascii="宋体" w:hAnsi="宋体" w:cs="宋体"/>
                <w:color w:val="00000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4W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638"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600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54" w:type="dxa"/>
            <w:vAlign w:val="center"/>
          </w:tcPr>
          <w:p>
            <w:pPr>
              <w:widowControl/>
              <w:jc w:val="center"/>
              <w:rPr>
                <w:rFonts w:ascii="宋体" w:cs="Times New Roman"/>
                <w:color w:val="000000"/>
              </w:rPr>
            </w:pPr>
            <w:r>
              <w:rPr>
                <w:rFonts w:ascii="宋体" w:hAnsi="宋体" w:cs="宋体"/>
                <w:color w:val="000000"/>
              </w:rPr>
              <w:t>800</w:t>
            </w:r>
          </w:p>
        </w:tc>
        <w:tc>
          <w:tcPr>
            <w:tcW w:w="655" w:type="dxa"/>
            <w:vAlign w:val="center"/>
          </w:tcPr>
          <w:p>
            <w:pPr>
              <w:widowControl/>
              <w:jc w:val="center"/>
              <w:rPr>
                <w:rFonts w:ascii="宋体" w:cs="Times New Roman"/>
                <w:color w:val="000000"/>
              </w:rPr>
            </w:pPr>
            <w:r>
              <w:rPr>
                <w:rFonts w:ascii="宋体" w:hAnsi="宋体" w:cs="宋体"/>
                <w:color w:val="000000"/>
              </w:rPr>
              <w:t>1000</w:t>
            </w:r>
          </w:p>
        </w:tc>
        <w:tc>
          <w:tcPr>
            <w:tcW w:w="655" w:type="dxa"/>
            <w:vAlign w:val="center"/>
          </w:tcPr>
          <w:p>
            <w:pPr>
              <w:widowControl/>
              <w:jc w:val="center"/>
              <w:rPr>
                <w:rFonts w:ascii="宋体" w:cs="Times New Roman"/>
                <w:color w:val="000000"/>
              </w:rPr>
            </w:pPr>
            <w:r>
              <w:rPr>
                <w:rFonts w:ascii="宋体" w:hAnsi="宋体" w:cs="宋体"/>
                <w:color w:val="000000"/>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6W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54"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8W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54"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10W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54" w:type="dxa"/>
            <w:vAlign w:val="center"/>
          </w:tcPr>
          <w:p>
            <w:pPr>
              <w:widowControl/>
              <w:jc w:val="center"/>
              <w:rPr>
                <w:rFonts w:ascii="宋体" w:cs="宋体"/>
                <w:color w:val="000000"/>
              </w:rPr>
            </w:pPr>
            <w:r>
              <w:rPr>
                <w:rFonts w:ascii="宋体" w:cs="宋体"/>
                <w:color w:val="000000"/>
              </w:rPr>
              <w:t>0</w:t>
            </w:r>
          </w:p>
        </w:tc>
        <w:tc>
          <w:tcPr>
            <w:tcW w:w="655" w:type="dxa"/>
            <w:vAlign w:val="center"/>
          </w:tcPr>
          <w:p>
            <w:pPr>
              <w:widowControl/>
              <w:jc w:val="center"/>
              <w:rPr>
                <w:rFonts w:ascii="宋体" w:cs="Times New Roman"/>
                <w:color w:val="000000"/>
              </w:rPr>
            </w:pPr>
            <w:r>
              <w:rPr>
                <w:rFonts w:ascii="宋体" w:hAnsi="宋体" w:cs="宋体"/>
                <w:color w:val="000000"/>
              </w:rPr>
              <w:t>100</w:t>
            </w:r>
          </w:p>
        </w:tc>
        <w:tc>
          <w:tcPr>
            <w:tcW w:w="655" w:type="dxa"/>
            <w:vAlign w:val="center"/>
          </w:tcPr>
          <w:p>
            <w:pPr>
              <w:widowControl/>
              <w:jc w:val="center"/>
              <w:rPr>
                <w:rFonts w:ascii="宋体" w:cs="Times New Roman"/>
                <w:color w:val="000000"/>
              </w:rPr>
            </w:pPr>
            <w:r>
              <w:rPr>
                <w:rFonts w:ascii="宋体" w:hAnsi="宋体" w:cs="宋体"/>
                <w:color w:val="000000"/>
              </w:rPr>
              <w:t>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1500KG</w:t>
      </w:r>
      <w:r>
        <w:rPr>
          <w:rFonts w:hint="eastAsia" w:ascii="宋体" w:hAnsi="宋体" w:cs="宋体"/>
          <w:b/>
          <w:bCs/>
          <w:color w:val="000000"/>
        </w:rPr>
        <w:t>以上的双方商议决定。</w:t>
      </w: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pStyle w:val="3"/>
        <w:jc w:val="center"/>
        <w:rPr>
          <w:rFonts w:ascii="Times New Roman" w:hAnsi="Times New Roman"/>
          <w:color w:val="000000"/>
        </w:rPr>
      </w:pPr>
      <w:r>
        <w:rPr>
          <w:rFonts w:hint="eastAsia" w:ascii="Times New Roman" w:hAnsi="Times New Roman"/>
          <w:color w:val="000000"/>
          <w:lang w:val="en-US" w:eastAsia="zh-CN"/>
        </w:rPr>
        <w:t>附件4：</w:t>
      </w:r>
      <w:r>
        <w:rPr>
          <w:rFonts w:hint="eastAsia" w:ascii="Times New Roman" w:hAnsi="Times New Roman"/>
          <w:color w:val="000000"/>
        </w:rPr>
        <w:t>商业合作伙伴贸易安全协议书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甲方：{CompanyName}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乙方：深圳市芯达通供应链管理有限公司</w:t>
      </w:r>
    </w:p>
    <w:p>
      <w:pPr>
        <w:widowControl/>
        <w:ind w:firstLine="420" w:firstLineChars="0"/>
        <w:jc w:val="left"/>
        <w:rPr>
          <w:rFonts w:hint="eastAsia" w:ascii="宋体" w:hAnsi="宋体"/>
          <w:color w:val="000000"/>
          <w:szCs w:val="21"/>
        </w:rPr>
      </w:pPr>
    </w:p>
    <w:p>
      <w:pPr>
        <w:widowControl/>
        <w:ind w:firstLine="420" w:firstLineChars="0"/>
        <w:jc w:val="left"/>
        <w:rPr>
          <w:rFonts w:hint="eastAsia" w:ascii="宋体" w:hAnsi="宋体"/>
          <w:color w:val="000000"/>
          <w:szCs w:val="21"/>
        </w:rPr>
      </w:pPr>
      <w:r>
        <w:rPr>
          <w:rFonts w:hint="eastAsia" w:ascii="宋体" w:hAnsi="宋体"/>
          <w:color w:val="000000"/>
          <w:szCs w:val="21"/>
        </w:rPr>
        <w:t>鉴于</w:t>
      </w:r>
      <w:r>
        <w:rPr>
          <w:rFonts w:hint="eastAsia" w:ascii="宋体" w:hAnsi="宋体"/>
          <w:color w:val="000000"/>
          <w:szCs w:val="21"/>
          <w:lang w:eastAsia="zh-CN"/>
        </w:rPr>
        <w:t>甲方</w:t>
      </w:r>
      <w:r>
        <w:rPr>
          <w:rFonts w:hint="eastAsia" w:ascii="宋体" w:hAnsi="宋体"/>
          <w:color w:val="000000"/>
          <w:szCs w:val="21"/>
        </w:rPr>
        <w:t>与</w:t>
      </w:r>
      <w:r>
        <w:rPr>
          <w:rFonts w:hint="eastAsia" w:ascii="宋体" w:hAnsi="宋体"/>
          <w:color w:val="000000"/>
          <w:szCs w:val="21"/>
          <w:lang w:eastAsia="zh-CN"/>
        </w:rPr>
        <w:t>乙方</w:t>
      </w:r>
      <w:r>
        <w:rPr>
          <w:rFonts w:hint="eastAsia" w:ascii="宋体" w:hAnsi="宋体"/>
          <w:color w:val="000000"/>
          <w:szCs w:val="21"/>
        </w:rPr>
        <w:t>有业务上的合作关系，经双方友好协商，为保障甲乙双方利益，提升供应链安全保障水平，拓展双方未来持续高效合作空间，就商业合作伙伴贸易安全达成以下协议:</w:t>
      </w:r>
    </w:p>
    <w:p>
      <w:pPr>
        <w:widowControl/>
        <w:ind w:firstLine="420" w:firstLineChars="0"/>
        <w:jc w:val="left"/>
        <w:rPr>
          <w:rFonts w:hint="eastAsia" w:ascii="宋体" w:hAnsi="宋体"/>
          <w:color w:val="000000"/>
          <w:szCs w:val="21"/>
        </w:rPr>
      </w:pPr>
      <w:r>
        <w:rPr>
          <w:rFonts w:hint="eastAsia" w:ascii="宋体" w:hAnsi="宋体"/>
          <w:color w:val="000000"/>
          <w:szCs w:val="21"/>
        </w:rPr>
        <w:t>第一条、为确保甲、乙双方的商业行为符合</w:t>
      </w:r>
      <w:r>
        <w:rPr>
          <w:rFonts w:hint="eastAsia" w:ascii="宋体" w:hAnsi="宋体"/>
          <w:color w:val="000000"/>
          <w:szCs w:val="21"/>
          <w:lang w:val="en-US" w:eastAsia="zh-CN"/>
        </w:rPr>
        <w:t>AEO认证中有关</w:t>
      </w:r>
      <w:r>
        <w:rPr>
          <w:rFonts w:hint="eastAsia" w:ascii="宋体" w:hAnsi="宋体"/>
          <w:color w:val="000000"/>
          <w:szCs w:val="21"/>
        </w:rPr>
        <w:t>贸易安全</w:t>
      </w:r>
      <w:r>
        <w:rPr>
          <w:rFonts w:hint="eastAsia" w:ascii="宋体" w:hAnsi="宋体"/>
          <w:color w:val="000000"/>
          <w:szCs w:val="21"/>
          <w:lang w:val="en-US" w:eastAsia="zh-CN"/>
        </w:rPr>
        <w:t>标准的</w:t>
      </w:r>
      <w:r>
        <w:rPr>
          <w:rFonts w:hint="eastAsia" w:ascii="宋体" w:hAnsi="宋体"/>
          <w:color w:val="000000"/>
          <w:szCs w:val="21"/>
        </w:rPr>
        <w:t>相关规定，保障整体货物交付稳定与供应链安全，与</w:t>
      </w:r>
      <w:r>
        <w:rPr>
          <w:rFonts w:hint="eastAsia" w:ascii="宋体" w:hAnsi="宋体"/>
          <w:color w:val="000000"/>
          <w:szCs w:val="21"/>
          <w:lang w:eastAsia="zh-CN"/>
        </w:rPr>
        <w:t>乙方</w:t>
      </w:r>
      <w:r>
        <w:rPr>
          <w:rFonts w:hint="eastAsia" w:ascii="宋体" w:hAnsi="宋体"/>
          <w:color w:val="000000"/>
          <w:szCs w:val="21"/>
        </w:rPr>
        <w:t>合作的客户、供应商、生产商或服务商承诺并切实按以下要求做好安全保障工作，并签署贸易安全补充协议之后，</w:t>
      </w:r>
      <w:r>
        <w:rPr>
          <w:rFonts w:hint="eastAsia" w:ascii="宋体" w:hAnsi="宋体"/>
          <w:color w:val="000000"/>
          <w:szCs w:val="21"/>
          <w:lang w:eastAsia="zh-CN"/>
        </w:rPr>
        <w:t>乙方</w:t>
      </w:r>
      <w:r>
        <w:rPr>
          <w:rFonts w:hint="eastAsia" w:ascii="宋体" w:hAnsi="宋体"/>
          <w:color w:val="000000"/>
          <w:szCs w:val="21"/>
        </w:rPr>
        <w:t>才考虑继续合作。</w:t>
      </w:r>
    </w:p>
    <w:p>
      <w:pPr>
        <w:widowControl/>
        <w:ind w:firstLine="420" w:firstLineChars="0"/>
        <w:jc w:val="left"/>
        <w:rPr>
          <w:rFonts w:hint="eastAsia" w:ascii="宋体" w:hAnsi="宋体"/>
          <w:color w:val="000000"/>
          <w:szCs w:val="21"/>
        </w:rPr>
      </w:pPr>
      <w:r>
        <w:rPr>
          <w:rFonts w:hint="eastAsia" w:ascii="宋体" w:hAnsi="宋体"/>
          <w:color w:val="000000"/>
          <w:szCs w:val="21"/>
        </w:rPr>
        <w:t>第二条、</w:t>
      </w:r>
      <w:r>
        <w:rPr>
          <w:rFonts w:hint="eastAsia" w:ascii="宋体" w:hAnsi="宋体"/>
          <w:color w:val="000000"/>
          <w:szCs w:val="21"/>
          <w:lang w:eastAsia="zh-CN"/>
        </w:rPr>
        <w:t>甲方</w:t>
      </w:r>
      <w:r>
        <w:rPr>
          <w:rFonts w:hint="eastAsia" w:ascii="宋体" w:hAnsi="宋体"/>
          <w:color w:val="000000"/>
          <w:szCs w:val="21"/>
        </w:rPr>
        <w:t>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hint="eastAsia" w:ascii="宋体" w:hAnsi="宋体"/>
          <w:color w:val="000000"/>
          <w:szCs w:val="21"/>
          <w:lang w:eastAsia="zh-CN"/>
        </w:rPr>
        <w:t>乙方</w:t>
      </w:r>
      <w:r>
        <w:rPr>
          <w:rFonts w:hint="eastAsia" w:ascii="宋体" w:hAnsi="宋体"/>
          <w:color w:val="000000"/>
          <w:szCs w:val="21"/>
        </w:rPr>
        <w:t>货物交付的中断。</w:t>
      </w:r>
    </w:p>
    <w:p>
      <w:pPr>
        <w:widowControl/>
        <w:ind w:firstLine="420" w:firstLineChars="0"/>
        <w:jc w:val="left"/>
        <w:rPr>
          <w:rFonts w:hint="eastAsia" w:ascii="宋体" w:hAnsi="宋体"/>
          <w:color w:val="000000"/>
          <w:szCs w:val="21"/>
        </w:rPr>
      </w:pPr>
      <w:r>
        <w:rPr>
          <w:rFonts w:hint="eastAsia" w:ascii="宋体" w:hAnsi="宋体"/>
          <w:color w:val="000000"/>
          <w:szCs w:val="21"/>
        </w:rPr>
        <w:t>第三条、为使贸易安全工作落到实处，</w:t>
      </w:r>
      <w:r>
        <w:rPr>
          <w:rFonts w:hint="eastAsia" w:ascii="宋体" w:hAnsi="宋体"/>
          <w:color w:val="000000"/>
          <w:szCs w:val="21"/>
          <w:lang w:eastAsia="zh-CN"/>
        </w:rPr>
        <w:t>乙方</w:t>
      </w:r>
      <w:r>
        <w:rPr>
          <w:rFonts w:hint="eastAsia" w:ascii="宋体" w:hAnsi="宋体"/>
          <w:color w:val="000000"/>
          <w:szCs w:val="21"/>
        </w:rPr>
        <w:t>有权不定期按AEO认证中有关贸易安全标准(如:海关总署公告20</w:t>
      </w:r>
      <w:r>
        <w:rPr>
          <w:rFonts w:hint="eastAsia" w:ascii="宋体" w:hAnsi="宋体"/>
          <w:color w:val="000000"/>
          <w:szCs w:val="21"/>
          <w:lang w:val="en-US" w:eastAsia="zh-CN"/>
        </w:rPr>
        <w:t>22</w:t>
      </w:r>
      <w:r>
        <w:rPr>
          <w:rFonts w:hint="eastAsia" w:ascii="宋体" w:hAnsi="宋体"/>
          <w:color w:val="000000"/>
          <w:szCs w:val="21"/>
        </w:rPr>
        <w:t>年第1</w:t>
      </w:r>
      <w:r>
        <w:rPr>
          <w:rFonts w:hint="eastAsia" w:ascii="宋体" w:hAnsi="宋体"/>
          <w:color w:val="000000"/>
          <w:szCs w:val="21"/>
          <w:lang w:val="en-US" w:eastAsia="zh-CN"/>
        </w:rPr>
        <w:t>06</w:t>
      </w:r>
      <w:r>
        <w:rPr>
          <w:rFonts w:hint="eastAsia" w:ascii="宋体" w:hAnsi="宋体"/>
          <w:color w:val="000000"/>
          <w:szCs w:val="21"/>
        </w:rPr>
        <w:t>号有关《海关认证企业标准》的细则中与贸易安全相关的内容，具体以海关最新政策标准为准。) 对</w:t>
      </w:r>
      <w:r>
        <w:rPr>
          <w:rFonts w:hint="eastAsia" w:ascii="宋体" w:hAnsi="宋体"/>
          <w:color w:val="000000"/>
          <w:szCs w:val="21"/>
          <w:lang w:eastAsia="zh-CN"/>
        </w:rPr>
        <w:t>甲方</w:t>
      </w:r>
      <w:r>
        <w:rPr>
          <w:rFonts w:hint="eastAsia" w:ascii="宋体" w:hAnsi="宋体"/>
          <w:color w:val="000000"/>
          <w:szCs w:val="21"/>
        </w:rPr>
        <w:t>的场所安全、进入安全、人员安全、商业伙伴安全、货物安全、集装箱安全、运输工作安全、危机管理过程进行安全评估。</w:t>
      </w:r>
    </w:p>
    <w:p>
      <w:pPr>
        <w:widowControl/>
        <w:ind w:firstLine="420" w:firstLineChars="0"/>
        <w:jc w:val="left"/>
        <w:rPr>
          <w:rFonts w:hint="eastAsia" w:ascii="宋体" w:hAnsi="宋体"/>
          <w:color w:val="000000"/>
          <w:szCs w:val="21"/>
        </w:rPr>
      </w:pPr>
      <w:r>
        <w:rPr>
          <w:rFonts w:hint="eastAsia" w:ascii="宋体" w:hAnsi="宋体"/>
          <w:color w:val="000000"/>
          <w:szCs w:val="21"/>
        </w:rPr>
        <w:t>第四条、贸易安全不合格者，</w:t>
      </w:r>
      <w:r>
        <w:rPr>
          <w:rFonts w:hint="eastAsia" w:ascii="宋体" w:hAnsi="宋体"/>
          <w:color w:val="000000"/>
          <w:szCs w:val="21"/>
          <w:lang w:eastAsia="zh-CN"/>
        </w:rPr>
        <w:t>乙方</w:t>
      </w:r>
      <w:r>
        <w:rPr>
          <w:rFonts w:hint="eastAsia" w:ascii="宋体" w:hAnsi="宋体"/>
          <w:color w:val="000000"/>
          <w:szCs w:val="21"/>
        </w:rPr>
        <w:t>将提出整改建议并限定期限整改。若整改不合格者，</w:t>
      </w:r>
      <w:r>
        <w:rPr>
          <w:rFonts w:hint="eastAsia" w:ascii="宋体" w:hAnsi="宋体"/>
          <w:color w:val="000000"/>
          <w:szCs w:val="21"/>
          <w:lang w:eastAsia="zh-CN"/>
        </w:rPr>
        <w:t>乙方</w:t>
      </w:r>
      <w:r>
        <w:rPr>
          <w:rFonts w:hint="eastAsia" w:ascii="宋体" w:hAnsi="宋体"/>
          <w:color w:val="000000"/>
          <w:szCs w:val="21"/>
        </w:rPr>
        <w:t>将有权终止其合作资格。</w:t>
      </w:r>
    </w:p>
    <w:p>
      <w:pPr>
        <w:widowControl/>
        <w:ind w:firstLine="420" w:firstLineChars="0"/>
        <w:jc w:val="left"/>
        <w:rPr>
          <w:rFonts w:hint="eastAsia" w:ascii="宋体" w:hAnsi="宋体"/>
          <w:color w:val="000000"/>
          <w:szCs w:val="21"/>
        </w:rPr>
      </w:pPr>
      <w:r>
        <w:rPr>
          <w:rFonts w:hint="eastAsia" w:ascii="宋体" w:hAnsi="宋体"/>
          <w:color w:val="000000"/>
          <w:szCs w:val="21"/>
        </w:rPr>
        <w:t>第五条、</w:t>
      </w:r>
      <w:r>
        <w:rPr>
          <w:rFonts w:hint="eastAsia" w:ascii="宋体" w:hAnsi="宋体"/>
          <w:color w:val="000000"/>
          <w:szCs w:val="21"/>
          <w:lang w:eastAsia="zh-CN"/>
        </w:rPr>
        <w:t>甲方</w:t>
      </w:r>
      <w:r>
        <w:rPr>
          <w:rFonts w:hint="eastAsia" w:ascii="宋体" w:hAnsi="宋体"/>
          <w:color w:val="000000"/>
          <w:szCs w:val="21"/>
        </w:rPr>
        <w:t>承诺接受</w:t>
      </w:r>
      <w:r>
        <w:rPr>
          <w:rFonts w:hint="eastAsia" w:ascii="宋体" w:hAnsi="宋体"/>
          <w:color w:val="000000"/>
          <w:szCs w:val="21"/>
          <w:lang w:eastAsia="zh-CN"/>
        </w:rPr>
        <w:t>乙方</w:t>
      </w:r>
      <w:r>
        <w:rPr>
          <w:rFonts w:hint="eastAsia" w:ascii="宋体" w:hAnsi="宋体"/>
          <w:color w:val="000000"/>
          <w:szCs w:val="21"/>
        </w:rPr>
        <w:t>不定期的贸易安全检查。</w:t>
      </w:r>
      <w:r>
        <w:rPr>
          <w:rFonts w:hint="eastAsia" w:ascii="宋体" w:hAnsi="宋体"/>
          <w:color w:val="000000"/>
          <w:szCs w:val="21"/>
          <w:lang w:eastAsia="zh-CN"/>
        </w:rPr>
        <w:t>甲方</w:t>
      </w:r>
      <w:r>
        <w:rPr>
          <w:rFonts w:hint="eastAsia" w:ascii="宋体" w:hAnsi="宋体"/>
          <w:color w:val="000000"/>
          <w:szCs w:val="21"/>
        </w:rPr>
        <w:t>配合</w:t>
      </w:r>
      <w:r>
        <w:rPr>
          <w:rFonts w:hint="eastAsia" w:ascii="宋体" w:hAnsi="宋体"/>
          <w:color w:val="000000"/>
          <w:szCs w:val="21"/>
          <w:lang w:eastAsia="zh-CN"/>
        </w:rPr>
        <w:t>乙方</w:t>
      </w:r>
      <w:r>
        <w:rPr>
          <w:rFonts w:hint="eastAsia" w:ascii="宋体" w:hAnsi="宋体"/>
          <w:color w:val="000000"/>
          <w:szCs w:val="21"/>
        </w:rPr>
        <w:t>的检查并积极落实有关整改事项，异常情况及时汇报管理层。</w:t>
      </w:r>
    </w:p>
    <w:p>
      <w:pPr>
        <w:widowControl/>
        <w:ind w:firstLine="420" w:firstLineChars="0"/>
        <w:jc w:val="left"/>
        <w:rPr>
          <w:rFonts w:hint="eastAsia" w:ascii="宋体" w:hAnsi="宋体"/>
          <w:color w:val="000000"/>
          <w:szCs w:val="21"/>
        </w:rPr>
      </w:pPr>
      <w:r>
        <w:rPr>
          <w:rFonts w:hint="eastAsia" w:ascii="宋体" w:hAnsi="宋体"/>
          <w:color w:val="000000"/>
          <w:szCs w:val="21"/>
        </w:rPr>
        <w:t>第六条、</w:t>
      </w:r>
      <w:r>
        <w:rPr>
          <w:rFonts w:hint="eastAsia" w:ascii="宋体" w:hAnsi="宋体"/>
          <w:color w:val="000000"/>
          <w:szCs w:val="21"/>
          <w:lang w:eastAsia="zh-CN"/>
        </w:rPr>
        <w:t>甲方</w:t>
      </w:r>
      <w:r>
        <w:rPr>
          <w:rFonts w:hint="eastAsia" w:ascii="宋体" w:hAnsi="宋体"/>
          <w:color w:val="000000"/>
          <w:szCs w:val="21"/>
        </w:rPr>
        <w:t>加强教育培训相关负责人及对应岗位人员严格遵守贸易安全相关要求。</w:t>
      </w:r>
    </w:p>
    <w:p>
      <w:pPr>
        <w:widowControl/>
        <w:ind w:firstLine="420" w:firstLineChars="0"/>
        <w:jc w:val="left"/>
        <w:rPr>
          <w:rFonts w:hint="eastAsia" w:ascii="宋体" w:hAnsi="宋体"/>
          <w:color w:val="000000"/>
          <w:szCs w:val="21"/>
        </w:rPr>
      </w:pPr>
      <w:r>
        <w:rPr>
          <w:rFonts w:hint="eastAsia" w:ascii="宋体" w:hAnsi="宋体"/>
          <w:color w:val="000000"/>
          <w:szCs w:val="21"/>
        </w:rPr>
        <w:t>第七条、贸易安全是货物交付稳定和供应链安全的最大保障，甲乙双方均同意持续执行贸易安全相关要求。</w:t>
      </w:r>
    </w:p>
    <w:p>
      <w:pPr>
        <w:widowControl/>
        <w:ind w:firstLine="420" w:firstLineChars="0"/>
        <w:jc w:val="left"/>
        <w:rPr>
          <w:rFonts w:hint="eastAsia" w:ascii="宋体" w:hAnsi="宋体"/>
          <w:color w:val="000000"/>
          <w:szCs w:val="21"/>
        </w:rPr>
      </w:pPr>
      <w:r>
        <w:rPr>
          <w:rFonts w:hint="eastAsia" w:ascii="宋体" w:hAnsi="宋体"/>
          <w:color w:val="000000"/>
          <w:szCs w:val="21"/>
        </w:rPr>
        <w:t>第八条、凡本协议未尽事宜或与本协议有关而引起的纠纷，双方应尽力协商解决，若协商不成，双方同意提交</w:t>
      </w:r>
      <w:r>
        <w:rPr>
          <w:rFonts w:hint="eastAsia" w:ascii="宋体" w:hAnsi="宋体"/>
          <w:color w:val="000000"/>
          <w:szCs w:val="21"/>
          <w:lang w:eastAsia="zh-CN"/>
        </w:rPr>
        <w:t>乙方</w:t>
      </w:r>
      <w:r>
        <w:rPr>
          <w:rFonts w:hint="eastAsia" w:ascii="宋体" w:hAnsi="宋体"/>
          <w:color w:val="000000"/>
          <w:szCs w:val="21"/>
        </w:rPr>
        <w:t>所在地人民法院裁决。</w:t>
      </w:r>
    </w:p>
    <w:p>
      <w:pPr>
        <w:widowControl/>
        <w:ind w:firstLine="420" w:firstLineChars="0"/>
        <w:jc w:val="left"/>
        <w:rPr>
          <w:rFonts w:hint="eastAsia" w:ascii="宋体" w:hAnsi="宋体"/>
          <w:color w:val="000000"/>
          <w:szCs w:val="21"/>
        </w:rPr>
      </w:pPr>
      <w:r>
        <w:rPr>
          <w:rFonts w:hint="eastAsia" w:ascii="宋体" w:hAnsi="宋体"/>
          <w:color w:val="000000"/>
          <w:szCs w:val="21"/>
        </w:rPr>
        <w:t>第九条、在法院受理期间，除提交法院受理有争议事项外，协议仍应继续履行。</w:t>
      </w:r>
    </w:p>
    <w:p>
      <w:pPr>
        <w:widowControl/>
        <w:ind w:firstLine="420" w:firstLineChars="0"/>
        <w:jc w:val="left"/>
        <w:rPr>
          <w:rFonts w:hint="eastAsia" w:ascii="宋体" w:hAnsi="宋体"/>
          <w:color w:val="000000"/>
          <w:szCs w:val="21"/>
        </w:rPr>
      </w:pPr>
      <w:r>
        <w:rPr>
          <w:rFonts w:hint="eastAsia" w:ascii="宋体" w:hAnsi="宋体"/>
          <w:color w:val="000000"/>
          <w:szCs w:val="21"/>
        </w:rPr>
        <w:t>第十条、本协议自双方签字盖章后生效，协议一式贰份，双方各执一份。在甲、乙双方的销售合同、购买合同或其它业务约定书或订单等有效的前提下，本协议长期有效。</w:t>
      </w: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lang w:val="en-US" w:eastAsia="zh-CN"/>
        </w:rPr>
      </w:pPr>
      <w:r>
        <w:rPr>
          <w:rFonts w:hint="eastAsia" w:ascii="宋体" w:hAnsi="宋体"/>
          <w:color w:val="000000"/>
          <w:szCs w:val="21"/>
        </w:rPr>
        <w:t>甲方：</w:t>
      </w:r>
      <w:r>
        <w:rPr>
          <w:rFonts w:hint="eastAsia" w:ascii="宋体" w:hAnsi="宋体"/>
          <w:color w:val="000000"/>
          <w:szCs w:val="21"/>
          <w:lang w:val="en-US" w:eastAsia="zh-CN"/>
        </w:rPr>
        <w:t xml:space="preserve">{CompanyName}                                                           </w:t>
      </w:r>
      <w:r>
        <w:rPr>
          <w:rFonts w:hint="eastAsia" w:ascii="宋体" w:hAnsi="宋体"/>
          <w:color w:val="000000"/>
          <w:szCs w:val="21"/>
          <w:lang w:val="en-US" w:eastAsia="zh-CN"/>
        </w:rPr>
        <w:tab/>
      </w:r>
      <w:r>
        <w:rPr>
          <w:rFonts w:hint="eastAsia" w:ascii="宋体" w:hAnsi="宋体"/>
          <w:color w:val="000000"/>
          <w:szCs w:val="21"/>
          <w:lang w:val="en-US" w:eastAsia="zh-CN"/>
        </w:rPr>
        <w:tab/>
      </w:r>
      <w:r>
        <w:rPr>
          <w:rFonts w:hint="eastAsia" w:ascii="宋体" w:hAnsi="宋体"/>
          <w:color w:val="000000"/>
          <w:szCs w:val="21"/>
          <w:lang w:val="en-US" w:eastAsia="zh-CN"/>
        </w:rPr>
        <w:t xml:space="preserve">年   月   日  </w:t>
      </w: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r>
        <w:rPr>
          <w:rFonts w:hint="eastAsia" w:ascii="宋体" w:hAnsi="宋体"/>
          <w:color w:val="000000"/>
          <w:szCs w:val="21"/>
        </w:rPr>
        <w:t>乙方：深圳市</w:t>
      </w:r>
      <w:r>
        <w:rPr>
          <w:rFonts w:hint="eastAsia" w:ascii="宋体" w:hAnsi="宋体"/>
          <w:color w:val="000000"/>
          <w:szCs w:val="21"/>
          <w:lang w:val="en-US" w:eastAsia="zh-CN"/>
        </w:rPr>
        <w:t>芯达通</w:t>
      </w:r>
      <w:r>
        <w:rPr>
          <w:rFonts w:hint="eastAsia" w:ascii="宋体" w:hAnsi="宋体"/>
          <w:color w:val="000000"/>
          <w:szCs w:val="21"/>
        </w:rPr>
        <w:t>供应链管理有限公司</w:t>
      </w:r>
    </w:p>
    <w:p>
      <w:pPr>
        <w:widowControl/>
        <w:ind w:left="420" w:leftChars="0" w:firstLine="420" w:firstLineChars="0"/>
        <w:jc w:val="left"/>
        <w:rPr>
          <w:rFonts w:hint="eastAsia" w:ascii="宋体" w:hAnsi="宋体"/>
          <w:color w:val="000000"/>
          <w:szCs w:val="21"/>
          <w:lang w:val="en-US" w:eastAsia="zh-CN"/>
        </w:rPr>
        <w:sectPr>
          <w:headerReference r:id="rId4" w:type="default"/>
          <w:footerReference r:id="rId5" w:type="default"/>
          <w:pgSz w:w="11906" w:h="16838"/>
          <w:pgMar w:top="1440" w:right="1417" w:bottom="1559" w:left="1797" w:header="851" w:footer="720" w:gutter="0"/>
          <w:pgNumType w:start="1"/>
          <w:cols w:space="720" w:num="1"/>
          <w:docGrid w:type="lines" w:linePitch="312" w:charSpace="0"/>
        </w:sectPr>
      </w:pPr>
      <w:r>
        <w:rPr>
          <w:rFonts w:hint="eastAsia" w:ascii="宋体" w:hAnsi="宋体"/>
          <w:color w:val="000000"/>
          <w:szCs w:val="21"/>
          <w:lang w:val="en-US" w:eastAsia="zh-CN"/>
        </w:rPr>
        <w:t xml:space="preserve">年   月   日 </w:t>
      </w:r>
    </w:p>
    <w:p>
      <w:pPr>
        <w:widowControl/>
        <w:jc w:val="left"/>
        <w:rPr>
          <w:rFonts w:hint="eastAsia" w:ascii="宋体" w:hAnsi="宋体"/>
          <w:color w:val="000000"/>
          <w:szCs w:val="21"/>
          <w:lang w:val="en-US" w:eastAsia="zh-CN"/>
        </w:rPr>
        <w:sectPr>
          <w:type w:val="continuous"/>
          <w:pgSz w:w="11906" w:h="16838"/>
          <w:pgMar w:top="1440" w:right="1800" w:bottom="1440" w:left="1800" w:header="851" w:footer="992" w:gutter="0"/>
          <w:cols w:space="425" w:num="1"/>
          <w:docGrid w:type="lines" w:linePitch="312" w:charSpace="0"/>
        </w:sectPr>
      </w:pPr>
    </w:p>
    <w:p>
      <w:pPr>
        <w:rPr>
          <w:rFonts w:hint="eastAsia" w:eastAsiaTheme="minorEastAsia"/>
          <w:lang w:val="en-US" w:eastAsia="zh-CN"/>
        </w:rPr>
      </w:pPr>
      <w:r>
        <w:drawing>
          <wp:inline distT="0" distB="0" distL="114300" distR="114300">
            <wp:extent cx="5267325" cy="88487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7325" cy="8848725"/>
                    </a:xfrm>
                    <a:prstGeom prst="rect">
                      <a:avLst/>
                    </a:prstGeom>
                    <a:noFill/>
                    <a:ln>
                      <a:noFill/>
                    </a:ln>
                  </pic:spPr>
                </pic:pic>
              </a:graphicData>
            </a:graphic>
          </wp:inline>
        </w:drawing>
      </w:r>
    </w:p>
    <w:sectPr>
      <w:headerReference r:id="rId6" w:type="default"/>
      <w:footerReference r:id="rId7"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pPr>
            <w:pStyle w:val="8"/>
            <w:jc w:val="center"/>
            <w:rPr>
              <w:rFonts w:hint="eastAsia" w:eastAsia="宋体"/>
              <w:b/>
              <w:bCs/>
              <w:color w:val="002060"/>
              <w:lang w:val="en-US" w:eastAsia="zh-CN"/>
            </w:rPr>
          </w:pPr>
          <w:r>
            <w:rPr>
              <w:b/>
              <w:color w:val="002060"/>
            </w:rPr>
            <w:fldChar w:fldCharType="begin"/>
          </w:r>
          <w:r>
            <w:rPr>
              <w:b/>
              <w:color w:val="002060"/>
            </w:rPr>
            <w:instrText xml:space="preserve">PAGE</w:instrText>
          </w:r>
          <w:r>
            <w:rPr>
              <w:b/>
              <w:color w:val="002060"/>
            </w:rPr>
            <w:fldChar w:fldCharType="separate"/>
          </w:r>
          <w:r>
            <w:rPr>
              <w:b/>
              <w:color w:val="002060"/>
            </w:rPr>
            <w:t>1</w:t>
          </w:r>
          <w:r>
            <w:rPr>
              <w:b/>
              <w:color w:val="002060"/>
            </w:rPr>
            <w:fldChar w:fldCharType="end"/>
          </w:r>
          <w:r>
            <w:rPr>
              <w:color w:val="002060"/>
              <w:lang w:val="zh-CN"/>
            </w:rPr>
            <w:t xml:space="preserve"> / </w:t>
          </w:r>
          <w:r>
            <w:rPr>
              <w:rFonts w:hint="eastAsia"/>
              <w:b/>
              <w:bCs/>
              <w:color w:val="002060"/>
              <w:lang w:val="en-US" w:eastAsia="zh-CN"/>
            </w:rPr>
            <w:t>8</w:t>
          </w:r>
        </w:p>
      </w:tc>
      <w:tc>
        <w:tcPr>
          <w:tcW w:w="6717" w:type="dxa"/>
        </w:tcPr>
        <w:p>
          <w:pPr>
            <w:pStyle w:val="8"/>
            <w:wordWrap w:val="0"/>
            <w:jc w:val="right"/>
            <w:rPr>
              <w:rFonts w:hint="eastAsia" w:ascii="Times New Roman" w:hAnsi="Times New Roman" w:eastAsia="楷体_GB2312" w:cs="Times New Roman"/>
              <w:color w:val="002060"/>
              <w:sz w:val="21"/>
              <w:szCs w:val="21"/>
              <w:lang w:eastAsia="zh-CN"/>
            </w:rPr>
          </w:pPr>
          <w:r>
            <w:rPr>
              <w:rFonts w:hint="eastAsia" w:ascii="Times New Roman" w:hAnsi="Times New Roman" w:eastAsia="楷体_GB2312" w:cs="Times New Roman"/>
              <w:color w:val="002060"/>
              <w:sz w:val="21"/>
              <w:szCs w:val="21"/>
              <w:lang w:eastAsia="zh-CN"/>
            </w:rPr>
            <w:t>深圳市芯达通供应链管理有限公司</w:t>
          </w:r>
        </w:p>
        <w:p>
          <w:pPr>
            <w:pStyle w:val="8"/>
            <w:wordWrap w:val="0"/>
            <w:jc w:val="right"/>
            <w:rPr>
              <w:color w:val="002060"/>
            </w:rPr>
          </w:pPr>
          <w:r>
            <w:rPr>
              <w:rFonts w:hint="eastAsia"/>
              <w:color w:val="002060"/>
              <w:lang w:val="en-US" w:eastAsia="zh-CN"/>
            </w:rPr>
            <w:t>Shenzhen Xindatong Supply Chain Management Co., Ltd</w:t>
          </w:r>
        </w:p>
      </w:tc>
    </w:tr>
  </w:tbl>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both"/>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color="auto" w:sz="0" w:space="0"/>
            </w:pBdr>
            <w:jc w:val="both"/>
            <w:rPr>
              <w:sz w:val="10"/>
              <w:szCs w:val="10"/>
            </w:rPr>
          </w:pPr>
          <w:r>
            <w:rPr>
              <w:rFonts w:ascii="Calibri" w:hAnsi="Calibri" w:eastAsia="宋体" w:cs="黑体"/>
              <w:kern w:val="2"/>
              <w:sz w:val="10"/>
              <w:szCs w:val="10"/>
              <w:lang w:val="en-US" w:eastAsia="zh-CN" w:bidi="ar-SA"/>
            </w:rPr>
            <w:drawing>
              <wp:inline distT="0" distB="0" distL="114300" distR="114300">
                <wp:extent cx="1141730" cy="541655"/>
                <wp:effectExtent l="0" t="0" r="1270" b="0"/>
                <wp:docPr id="8" name="图片 8" descr="C:\Documents and Settings\Administrator\桌面\芯达通logo.png芯达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Documents and Settings\Administrator\桌面\芯达通logo.png芯达通logo"/>
                        <pic:cNvPicPr>
                          <a:picLocks noChangeAspect="1"/>
                        </pic:cNvPicPr>
                      </pic:nvPicPr>
                      <pic:blipFill>
                        <a:blip r:embed="rId1">
                          <a:lum/>
                        </a:blip>
                        <a:stretch>
                          <a:fillRect/>
                        </a:stretch>
                      </pic:blipFill>
                      <pic:spPr>
                        <a:xfrm>
                          <a:off x="0" y="0"/>
                          <a:ext cx="1141730" cy="541655"/>
                        </a:xfrm>
                        <a:prstGeom prst="rect">
                          <a:avLst/>
                        </a:prstGeom>
                        <a:noFill/>
                        <a:ln>
                          <a:noFill/>
                        </a:ln>
                      </pic:spPr>
                    </pic:pic>
                  </a:graphicData>
                </a:graphic>
              </wp:inline>
            </w:drawing>
          </w:r>
        </w:p>
      </w:tc>
      <w:tc>
        <w:tcPr>
          <w:tcW w:w="4586" w:type="dxa"/>
          <w:vAlign w:val="center"/>
        </w:tcPr>
        <w:p>
          <w:pPr>
            <w:pStyle w:val="9"/>
            <w:pBdr>
              <w:bottom w:val="none" w:color="auto" w:sz="0" w:space="0"/>
            </w:pBdr>
            <w:jc w:val="right"/>
            <w:rPr>
              <w:rFonts w:ascii="楷体_GB2312" w:eastAsia="楷体_GB2312"/>
              <w:sz w:val="21"/>
              <w:szCs w:val="21"/>
            </w:rPr>
          </w:pPr>
        </w:p>
        <w:p>
          <w:pPr>
            <w:pStyle w:val="9"/>
            <w:pBdr>
              <w:bottom w:val="none" w:color="auto" w:sz="0" w:space="0"/>
            </w:pBdr>
            <w:jc w:val="right"/>
            <w:rPr>
              <w:rFonts w:ascii="楷体_GB2312" w:eastAsia="楷体_GB2312"/>
              <w:sz w:val="21"/>
              <w:szCs w:val="21"/>
            </w:rPr>
          </w:pPr>
          <w:r>
            <w:rPr>
              <w:rFonts w:hint="eastAsia" w:ascii="楷体_GB2312" w:eastAsia="楷体_GB2312"/>
              <w:sz w:val="21"/>
              <w:szCs w:val="21"/>
            </w:rPr>
            <w:t>供应链服务协议</w:t>
          </w:r>
        </w:p>
      </w:tc>
    </w:tr>
  </w:tbl>
  <w:p>
    <w:pPr>
      <w:pStyle w:val="9"/>
      <w:jc w:val="both"/>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89198"/>
    <w:multiLevelType w:val="multilevel"/>
    <w:tmpl w:val="BB789198"/>
    <w:lvl w:ilvl="0" w:tentative="0">
      <w:start w:val="1"/>
      <w:numFmt w:val="decimal"/>
      <w:lvlText w:val="11.%1"/>
      <w:lvlJc w:val="left"/>
      <w:pPr>
        <w:tabs>
          <w:tab w:val="left" w:pos="567"/>
        </w:tabs>
        <w:ind w:left="567" w:hanging="567"/>
      </w:pPr>
      <w:rPr>
        <w:rFonts w:hint="default" w:ascii="宋体" w:hAnsi="宋体" w:eastAsia="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E93ED3F4"/>
    <w:multiLevelType w:val="multilevel"/>
    <w:tmpl w:val="E93ED3F4"/>
    <w:lvl w:ilvl="0" w:tentative="0">
      <w:start w:val="1"/>
      <w:numFmt w:val="decimal"/>
      <w:lvlText w:val="9.%1"/>
      <w:lvlJc w:val="left"/>
      <w:pPr>
        <w:tabs>
          <w:tab w:val="left" w:pos="567"/>
        </w:tabs>
        <w:ind w:left="567" w:hanging="567"/>
      </w:pPr>
      <w:rPr>
        <w:rFonts w:hint="default" w:ascii="宋体" w:hAnsi="宋体" w:eastAsia="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22C43C8"/>
    <w:multiLevelType w:val="multilevel"/>
    <w:tmpl w:val="122C43C8"/>
    <w:lvl w:ilvl="0" w:tentative="0">
      <w:start w:val="1"/>
      <w:numFmt w:val="decimal"/>
      <w:lvlText w:val="5.%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E98D318"/>
    <w:multiLevelType w:val="multilevel"/>
    <w:tmpl w:val="1E98D318"/>
    <w:lvl w:ilvl="0" w:tentative="0">
      <w:start w:val="1"/>
      <w:numFmt w:val="decimal"/>
      <w:lvlText w:val="6.%1"/>
      <w:lvlJc w:val="left"/>
      <w:pPr>
        <w:tabs>
          <w:tab w:val="left" w:pos="567"/>
        </w:tabs>
        <w:ind w:left="567" w:hanging="567"/>
      </w:pPr>
      <w:rPr>
        <w:rFonts w:hint="default" w:ascii="宋体" w:hAnsi="宋体" w:eastAsia="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F5E3A15"/>
    <w:multiLevelType w:val="multilevel"/>
    <w:tmpl w:val="3F5E3A15"/>
    <w:lvl w:ilvl="0" w:tentative="0">
      <w:start w:val="1"/>
      <w:numFmt w:val="decimal"/>
      <w:lvlText w:val="4.%1"/>
      <w:lvlJc w:val="left"/>
      <w:pPr>
        <w:tabs>
          <w:tab w:val="left" w:pos="567"/>
        </w:tabs>
        <w:ind w:left="567" w:hanging="567"/>
      </w:pPr>
      <w:rPr>
        <w:rFonts w:hint="default"/>
      </w:rPr>
    </w:lvl>
    <w:lvl w:ilvl="1" w:tentative="0">
      <w:start w:val="1"/>
      <w:numFmt w:val="decimal"/>
      <w:lvlText w:val="4.2.%2"/>
      <w:lvlJc w:val="left"/>
      <w:pPr>
        <w:tabs>
          <w:tab w:val="left" w:pos="1134"/>
        </w:tabs>
        <w:ind w:left="1134" w:hanging="85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DDE7C3B"/>
    <w:multiLevelType w:val="multilevel"/>
    <w:tmpl w:val="4DDE7C3B"/>
    <w:lvl w:ilvl="0" w:tentative="0">
      <w:start w:val="1"/>
      <w:numFmt w:val="chineseCountingThousand"/>
      <w:lvlText w:val="第%1条"/>
      <w:lvlJc w:val="left"/>
      <w:pPr>
        <w:tabs>
          <w:tab w:val="left" w:pos="2258"/>
        </w:tabs>
        <w:ind w:left="2258" w:hanging="840"/>
      </w:pPr>
      <w:rPr>
        <w:rFonts w:hint="default"/>
      </w:rPr>
    </w:lvl>
    <w:lvl w:ilvl="1" w:tentative="0">
      <w:start w:val="1"/>
      <w:numFmt w:val="lowerLetter"/>
      <w:lvlText w:val="%2)"/>
      <w:lvlJc w:val="left"/>
      <w:pPr>
        <w:tabs>
          <w:tab w:val="left" w:pos="2258"/>
        </w:tabs>
        <w:ind w:left="2258" w:hanging="420"/>
      </w:pPr>
    </w:lvl>
    <w:lvl w:ilvl="2" w:tentative="0">
      <w:start w:val="1"/>
      <w:numFmt w:val="lowerRoman"/>
      <w:lvlText w:val="%3."/>
      <w:lvlJc w:val="right"/>
      <w:pPr>
        <w:tabs>
          <w:tab w:val="left" w:pos="2678"/>
        </w:tabs>
        <w:ind w:left="2678" w:hanging="420"/>
      </w:pPr>
    </w:lvl>
    <w:lvl w:ilvl="3" w:tentative="0">
      <w:start w:val="1"/>
      <w:numFmt w:val="decimal"/>
      <w:lvlText w:val="%4."/>
      <w:lvlJc w:val="left"/>
      <w:pPr>
        <w:tabs>
          <w:tab w:val="left" w:pos="3098"/>
        </w:tabs>
        <w:ind w:left="3098" w:hanging="420"/>
      </w:pPr>
    </w:lvl>
    <w:lvl w:ilvl="4" w:tentative="0">
      <w:start w:val="1"/>
      <w:numFmt w:val="lowerLetter"/>
      <w:lvlText w:val="%5)"/>
      <w:lvlJc w:val="left"/>
      <w:pPr>
        <w:tabs>
          <w:tab w:val="left" w:pos="3518"/>
        </w:tabs>
        <w:ind w:left="3518" w:hanging="420"/>
      </w:pPr>
    </w:lvl>
    <w:lvl w:ilvl="5" w:tentative="0">
      <w:start w:val="1"/>
      <w:numFmt w:val="lowerRoman"/>
      <w:lvlText w:val="%6."/>
      <w:lvlJc w:val="right"/>
      <w:pPr>
        <w:tabs>
          <w:tab w:val="left" w:pos="3938"/>
        </w:tabs>
        <w:ind w:left="3938" w:hanging="420"/>
      </w:pPr>
    </w:lvl>
    <w:lvl w:ilvl="6" w:tentative="0">
      <w:start w:val="1"/>
      <w:numFmt w:val="decimal"/>
      <w:lvlText w:val="%7."/>
      <w:lvlJc w:val="left"/>
      <w:pPr>
        <w:tabs>
          <w:tab w:val="left" w:pos="4358"/>
        </w:tabs>
        <w:ind w:left="4358" w:hanging="420"/>
      </w:pPr>
    </w:lvl>
    <w:lvl w:ilvl="7" w:tentative="0">
      <w:start w:val="1"/>
      <w:numFmt w:val="lowerLetter"/>
      <w:lvlText w:val="%8)"/>
      <w:lvlJc w:val="left"/>
      <w:pPr>
        <w:tabs>
          <w:tab w:val="left" w:pos="4778"/>
        </w:tabs>
        <w:ind w:left="4778" w:hanging="420"/>
      </w:pPr>
    </w:lvl>
    <w:lvl w:ilvl="8" w:tentative="0">
      <w:start w:val="1"/>
      <w:numFmt w:val="lowerRoman"/>
      <w:lvlText w:val="%9."/>
      <w:lvlJc w:val="right"/>
      <w:pPr>
        <w:tabs>
          <w:tab w:val="left" w:pos="5198"/>
        </w:tabs>
        <w:ind w:left="5198" w:hanging="420"/>
      </w:pPr>
    </w:lvl>
  </w:abstractNum>
  <w:abstractNum w:abstractNumId="6">
    <w:nsid w:val="4E1D3854"/>
    <w:multiLevelType w:val="multilevel"/>
    <w:tmpl w:val="4E1D3854"/>
    <w:lvl w:ilvl="0" w:tentative="0">
      <w:start w:val="1"/>
      <w:numFmt w:val="decimal"/>
      <w:lvlText w:val="10.%1"/>
      <w:lvlJc w:val="left"/>
      <w:pPr>
        <w:tabs>
          <w:tab w:val="left" w:pos="567"/>
        </w:tabs>
        <w:ind w:left="567" w:hanging="567"/>
      </w:pPr>
      <w:rPr>
        <w:rFonts w:hint="default" w:ascii="宋体" w:hAnsi="宋体" w:eastAsia="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A542EAF"/>
    <w:multiLevelType w:val="singleLevel"/>
    <w:tmpl w:val="5A542EAF"/>
    <w:lvl w:ilvl="0" w:tentative="0">
      <w:start w:val="1"/>
      <w:numFmt w:val="decimal"/>
      <w:suff w:val="nothing"/>
      <w:lvlText w:val="（%1）"/>
      <w:lvlJc w:val="left"/>
    </w:lvl>
  </w:abstractNum>
  <w:abstractNum w:abstractNumId="8">
    <w:nsid w:val="64317669"/>
    <w:multiLevelType w:val="multilevel"/>
    <w:tmpl w:val="64317669"/>
    <w:lvl w:ilvl="0" w:tentative="0">
      <w:start w:val="1"/>
      <w:numFmt w:val="decimal"/>
      <w:lvlText w:val="2.%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5963FB3"/>
    <w:multiLevelType w:val="multilevel"/>
    <w:tmpl w:val="75963FB3"/>
    <w:lvl w:ilvl="0" w:tentative="0">
      <w:start w:val="1"/>
      <w:numFmt w:val="decimal"/>
      <w:lvlText w:val="3.%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2ZGMyMzc0YWRhNGExYzFhMzVjMmU5MDhhOWY4MzgifQ=="/>
  </w:docVars>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semiHidden/>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semiHidden/>
    <w:unhideWhenUsed/>
    <w:qFormat/>
    <w:uiPriority w:val="99"/>
    <w:pPr>
      <w:jc w:val="left"/>
    </w:pPr>
  </w:style>
  <w:style w:type="paragraph" w:styleId="6">
    <w:name w:val="Body Text"/>
    <w:basedOn w:val="1"/>
    <w:semiHidden/>
    <w:unhideWhenUsed/>
    <w:qFormat/>
    <w:uiPriority w:val="99"/>
    <w:rPr>
      <w:rFonts w:ascii="宋体" w:hAnsi="宋体" w:eastAsia="宋体" w:cs="宋体"/>
      <w:sz w:val="24"/>
      <w:szCs w:val="24"/>
    </w:rPr>
  </w:style>
  <w:style w:type="paragraph" w:styleId="7">
    <w:name w:val="Balloon Text"/>
    <w:basedOn w:val="1"/>
    <w:link w:val="18"/>
    <w:semiHidden/>
    <w:unhideWhenUsed/>
    <w:qFormat/>
    <w:uiPriority w:val="99"/>
    <w:rPr>
      <w:sz w:val="18"/>
      <w:szCs w:val="18"/>
    </w:r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2"/>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annotation reference"/>
    <w:basedOn w:val="13"/>
    <w:semiHidden/>
    <w:unhideWhenUsed/>
    <w:qFormat/>
    <w:uiPriority w:val="99"/>
    <w:rPr>
      <w:sz w:val="21"/>
      <w:szCs w:val="21"/>
    </w:rPr>
  </w:style>
  <w:style w:type="paragraph" w:customStyle="1" w:styleId="15">
    <w:name w:val="列出段落1"/>
    <w:basedOn w:val="1"/>
    <w:qFormat/>
    <w:uiPriority w:val="99"/>
    <w:pPr>
      <w:ind w:firstLine="420" w:firstLineChars="200"/>
      <w:jc w:val="left"/>
    </w:pPr>
    <w:rPr>
      <w:rFonts w:ascii="Times New Roman" w:hAnsi="Times New Roman" w:eastAsia="PMingLiU" w:cs="Times New Roman"/>
      <w:sz w:val="24"/>
      <w:szCs w:val="24"/>
      <w:lang w:eastAsia="zh-TW"/>
    </w:rPr>
  </w:style>
  <w:style w:type="character" w:customStyle="1" w:styleId="16">
    <w:name w:val="页眉 Char"/>
    <w:basedOn w:val="13"/>
    <w:link w:val="9"/>
    <w:qFormat/>
    <w:uiPriority w:val="99"/>
    <w:rPr>
      <w:sz w:val="18"/>
      <w:szCs w:val="18"/>
    </w:rPr>
  </w:style>
  <w:style w:type="character" w:customStyle="1" w:styleId="17">
    <w:name w:val="页脚 Char"/>
    <w:basedOn w:val="13"/>
    <w:link w:val="8"/>
    <w:qFormat/>
    <w:uiPriority w:val="99"/>
    <w:rPr>
      <w:sz w:val="18"/>
      <w:szCs w:val="18"/>
    </w:rPr>
  </w:style>
  <w:style w:type="character" w:customStyle="1" w:styleId="18">
    <w:name w:val="批注框文本 Char"/>
    <w:basedOn w:val="13"/>
    <w:link w:val="7"/>
    <w:semiHidden/>
    <w:qFormat/>
    <w:uiPriority w:val="99"/>
    <w:rPr>
      <w:sz w:val="18"/>
      <w:szCs w:val="18"/>
    </w:rPr>
  </w:style>
  <w:style w:type="character" w:customStyle="1" w:styleId="19">
    <w:name w:val="标题 1 Char"/>
    <w:basedOn w:val="13"/>
    <w:link w:val="2"/>
    <w:qFormat/>
    <w:uiPriority w:val="9"/>
    <w:rPr>
      <w:b/>
      <w:bCs/>
      <w:kern w:val="44"/>
      <w:sz w:val="44"/>
      <w:szCs w:val="44"/>
    </w:rPr>
  </w:style>
  <w:style w:type="character" w:customStyle="1" w:styleId="20">
    <w:name w:val="标题 2 Char"/>
    <w:basedOn w:val="13"/>
    <w:link w:val="3"/>
    <w:qFormat/>
    <w:uiPriority w:val="0"/>
    <w:rPr>
      <w:rFonts w:ascii="Arial" w:hAnsi="Arial" w:eastAsia="黑体" w:cs="Times New Roman"/>
      <w:b/>
      <w:bCs/>
      <w:sz w:val="32"/>
      <w:szCs w:val="32"/>
    </w:rPr>
  </w:style>
  <w:style w:type="character" w:customStyle="1" w:styleId="21">
    <w:name w:val="批注文字 Char"/>
    <w:basedOn w:val="13"/>
    <w:link w:val="5"/>
    <w:semiHidden/>
    <w:qFormat/>
    <w:uiPriority w:val="99"/>
  </w:style>
  <w:style w:type="character" w:customStyle="1" w:styleId="22">
    <w:name w:val="批注主题 Char"/>
    <w:basedOn w:val="21"/>
    <w:link w:val="10"/>
    <w:semiHidden/>
    <w:qFormat/>
    <w:uiPriority w:val="99"/>
    <w:rPr>
      <w:b/>
      <w:bCs/>
    </w:rPr>
  </w:style>
  <w:style w:type="paragraph" w:styleId="23">
    <w:name w:val="List Paragraph"/>
    <w:basedOn w:val="1"/>
    <w:qFormat/>
    <w:uiPriority w:val="99"/>
    <w:pPr>
      <w:ind w:firstLine="420" w:firstLineChars="200"/>
      <w:jc w:val="left"/>
    </w:pPr>
    <w:rPr>
      <w:rFonts w:ascii="Times New Roman" w:hAnsi="Times New Roman" w:eastAsia="PMingLiU" w:cs="Times New Roman"/>
      <w:sz w:val="24"/>
      <w:szCs w:val="24"/>
      <w:lang w:eastAsia="zh-TW"/>
    </w:rPr>
  </w:style>
  <w:style w:type="paragraph" w:customStyle="1" w:styleId="24">
    <w:name w:val="分类号"/>
    <w:basedOn w:val="1"/>
    <w:qFormat/>
    <w:uiPriority w:val="0"/>
    <w:rPr>
      <w:rFonts w:ascii="仿宋_GB2312" w:hAnsi="Times New Roman" w:eastAsia="仿宋_GB2312" w:cs="Times New Roman"/>
      <w:sz w:val="28"/>
      <w:szCs w:val="28"/>
    </w:rPr>
  </w:style>
  <w:style w:type="paragraph" w:customStyle="1" w:styleId="25">
    <w:name w:val="封面日期"/>
    <w:basedOn w:val="1"/>
    <w:qFormat/>
    <w:uiPriority w:val="0"/>
    <w:pPr>
      <w:jc w:val="center"/>
    </w:pPr>
    <w:rPr>
      <w:rFonts w:ascii="黑体" w:hAnsi="Times New Roman" w:eastAsia="黑体" w:cs="Times New Roman"/>
      <w:sz w:val="32"/>
      <w:szCs w:val="32"/>
    </w:rPr>
  </w:style>
  <w:style w:type="paragraph" w:customStyle="1" w:styleId="26">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27">
    <w:name w:val="硕士学位论文"/>
    <w:basedOn w:val="1"/>
    <w:qFormat/>
    <w:uiPriority w:val="0"/>
    <w:pPr>
      <w:spacing w:before="240"/>
      <w:jc w:val="center"/>
    </w:pPr>
    <w:rPr>
      <w:rFonts w:ascii="Times New Roman" w:hAnsi="Times New Roman" w:cs="Times New Roman"/>
      <w:sz w:val="44"/>
      <w:szCs w:val="44"/>
    </w:rPr>
  </w:style>
  <w:style w:type="paragraph" w:customStyle="1" w:styleId="28">
    <w:name w:val="研究生姓名"/>
    <w:basedOn w:val="1"/>
    <w:qFormat/>
    <w:uiPriority w:val="0"/>
    <w:pPr>
      <w:ind w:firstLine="700" w:firstLineChars="700"/>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ryan</cp:lastModifiedBy>
  <cp:lastPrinted>2012-08-24T05:40:00Z</cp:lastPrinted>
  <dcterms:modified xsi:type="dcterms:W3CDTF">2023-06-28T01:23:39Z</dcterms:modified>
  <dc:title>供应链服务协议</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517043A640D948C3B4CB985C3908CE75</vt:lpwstr>
  </property>
</Properties>
</file>