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000000"/>
        </w:rPr>
      </w:pPr>
      <w:r>
        <w:rPr>
          <w:rFonts w:hint="eastAsia"/>
          <w:color w:val="000000"/>
        </w:rPr>
        <w:t>供应链服务协议</w:t>
      </w:r>
    </w:p>
    <w:p>
      <w:pPr>
        <w:spacing w:line="340" w:lineRule="exact"/>
        <w:ind w:firstLine="480"/>
        <w:jc w:val="right"/>
        <w:rPr>
          <w:rFonts w:ascii="宋体" w:hAnsi="宋体"/>
          <w:color w:val="000000"/>
          <w:szCs w:val="21"/>
        </w:rPr>
      </w:pPr>
      <w:r>
        <w:rPr>
          <w:rFonts w:hint="eastAsia" w:ascii="宋体" w:hAnsi="宋体"/>
          <w:color w:val="000000"/>
          <w:szCs w:val="21"/>
        </w:rPr>
        <w:t>编号：『CX-THTY-20170101』</w:t>
      </w:r>
    </w:p>
    <w:p>
      <w:pPr>
        <w:spacing w:line="340" w:lineRule="exact"/>
        <w:ind w:firstLine="482"/>
        <w:rPr>
          <w:rFonts w:ascii="宋体" w:hAnsi="宋体"/>
          <w:b/>
          <w:color w:val="000000" w:themeColor="text1"/>
          <w:szCs w:val="21"/>
          <w14:textFill>
            <w14:solidFill>
              <w14:schemeClr w14:val="tx1"/>
            </w14:solidFill>
          </w14:textFill>
        </w:rPr>
      </w:pPr>
      <w:r>
        <w:rPr>
          <w:rFonts w:hint="eastAsia" w:ascii="宋体" w:hAnsi="宋体"/>
          <w:b/>
          <w:color w:val="000000"/>
          <w:szCs w:val="21"/>
        </w:rPr>
        <w:t>甲方（委托方）：</w:t>
      </w:r>
      <w:r>
        <w:rPr>
          <w:rFonts w:hint="eastAsia" w:ascii="宋体" w:hAnsi="宋体"/>
          <w:b/>
          <w:color w:val="000000"/>
          <w:szCs w:val="21"/>
          <w:lang w:val="en-US" w:eastAsia="zh-CN"/>
        </w:rPr>
        <w:t>{ClientName}</w:t>
      </w:r>
    </w:p>
    <w:p>
      <w:pPr>
        <w:spacing w:line="340" w:lineRule="exact"/>
        <w:ind w:firstLine="48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注册地址：</w:t>
      </w:r>
      <w:r>
        <w:rPr>
          <w:rFonts w:hint="eastAsia"/>
          <w:szCs w:val="21"/>
          <w:lang w:val="en-US" w:eastAsia="zh-CN"/>
        </w:rPr>
        <w:t>{A_RegAddress}</w:t>
      </w:r>
    </w:p>
    <w:p>
      <w:pPr>
        <w:spacing w:line="340" w:lineRule="exact"/>
        <w:ind w:left="1109" w:leftChars="228" w:hanging="630" w:hangingChars="300"/>
        <w:rPr>
          <w:rFonts w:ascii="宋体" w:hAnsi="宋体"/>
          <w:color w:val="000000" w:themeColor="text1"/>
          <w:szCs w:val="21"/>
          <w14:textFill>
            <w14:solidFill>
              <w14:schemeClr w14:val="tx1"/>
            </w14:solidFill>
          </w14:textFill>
        </w:rPr>
      </w:pPr>
      <w:r>
        <w:rPr>
          <w:rFonts w:hint="eastAsia" w:ascii="宋体" w:hAnsi="宋体"/>
          <w:color w:val="000000"/>
          <w:szCs w:val="21"/>
        </w:rPr>
        <w:t>法定代表人</w:t>
      </w:r>
      <w:r>
        <w:rPr>
          <w:rFonts w:hint="eastAsia" w:ascii="宋体" w:hAnsi="宋体"/>
          <w:color w:val="000000"/>
          <w:szCs w:val="21"/>
          <w:lang w:eastAsia="zh-CN"/>
        </w:rPr>
        <w:t>：</w:t>
      </w:r>
      <w:r>
        <w:rPr>
          <w:rFonts w:hint="eastAsia"/>
          <w:szCs w:val="21"/>
          <w:lang w:val="en-US" w:eastAsia="zh-CN"/>
        </w:rPr>
        <w:t>{A_Corporation}</w:t>
      </w:r>
    </w:p>
    <w:p>
      <w:pPr>
        <w:spacing w:line="340" w:lineRule="exact"/>
        <w:ind w:firstLine="480"/>
        <w:rPr>
          <w:rFonts w:ascii="宋体" w:hAnsi="宋体"/>
          <w:color w:val="000000"/>
          <w:szCs w:val="21"/>
        </w:rPr>
      </w:pPr>
    </w:p>
    <w:p>
      <w:pPr>
        <w:spacing w:line="340" w:lineRule="exact"/>
        <w:ind w:firstLine="482"/>
        <w:rPr>
          <w:rFonts w:hint="default" w:ascii="宋体" w:hAnsi="宋体" w:eastAsia="宋体"/>
          <w:b/>
          <w:color w:val="000000"/>
          <w:szCs w:val="21"/>
          <w:lang w:val="en-US" w:eastAsia="zh-CN"/>
        </w:rPr>
      </w:pPr>
      <w:r>
        <w:rPr>
          <w:rFonts w:hint="eastAsia" w:ascii="宋体" w:hAnsi="宋体"/>
          <w:b/>
          <w:color w:val="000000"/>
          <w:szCs w:val="21"/>
        </w:rPr>
        <w:t>乙方（受托方）：</w:t>
      </w:r>
      <w:r>
        <w:rPr>
          <w:rFonts w:hint="eastAsia" w:ascii="宋体" w:hAnsi="宋体"/>
          <w:b/>
          <w:color w:val="000000"/>
          <w:szCs w:val="21"/>
          <w:lang w:val="en-US" w:eastAsia="zh-CN"/>
        </w:rPr>
        <w:t>{B_CompanyName}</w:t>
      </w:r>
    </w:p>
    <w:p>
      <w:pPr>
        <w:spacing w:line="340" w:lineRule="exact"/>
        <w:ind w:firstLine="482"/>
        <w:rPr>
          <w:rFonts w:ascii="宋体" w:hAnsi="宋体"/>
          <w:color w:val="000000" w:themeColor="text1"/>
          <w:szCs w:val="21"/>
          <w14:textFill>
            <w14:solidFill>
              <w14:schemeClr w14:val="tx1"/>
            </w14:solidFill>
          </w14:textFill>
        </w:rPr>
      </w:pPr>
      <w:r>
        <w:rPr>
          <w:rFonts w:hint="eastAsia" w:ascii="宋体" w:hAnsi="宋体"/>
          <w:color w:val="000000"/>
          <w:szCs w:val="21"/>
        </w:rPr>
        <w:t>注册地址：</w:t>
      </w:r>
      <w:r>
        <w:rPr>
          <w:rFonts w:hint="eastAsia"/>
          <w:szCs w:val="21"/>
          <w:lang w:val="en-US" w:eastAsia="zh-CN"/>
        </w:rPr>
        <w:t>{B_RegAddress}</w:t>
      </w:r>
    </w:p>
    <w:p>
      <w:pPr>
        <w:spacing w:line="400" w:lineRule="exact"/>
        <w:ind w:firstLine="480"/>
        <w:rPr>
          <w:rFonts w:hint="default" w:ascii="宋体" w:hAnsi="宋体" w:eastAsia="宋体"/>
          <w:color w:val="000000"/>
          <w:szCs w:val="21"/>
          <w:lang w:val="en-US" w:eastAsia="zh-CN"/>
        </w:rPr>
      </w:pPr>
      <w:r>
        <w:rPr>
          <w:rFonts w:hint="eastAsia" w:ascii="宋体" w:hAnsi="宋体"/>
          <w:color w:val="000000"/>
          <w:szCs w:val="21"/>
        </w:rPr>
        <w:t>办公地址：</w:t>
      </w:r>
      <w:r>
        <w:rPr>
          <w:rFonts w:hint="eastAsia"/>
          <w:szCs w:val="21"/>
          <w:lang w:val="en-US" w:eastAsia="zh-CN"/>
        </w:rPr>
        <w:t>{B_OfficeAddress}</w:t>
      </w:r>
    </w:p>
    <w:p>
      <w:pPr>
        <w:spacing w:line="340" w:lineRule="exact"/>
        <w:ind w:firstLine="480"/>
        <w:rPr>
          <w:rFonts w:hint="default"/>
          <w:szCs w:val="21"/>
          <w:lang w:val="en-US" w:eastAsia="zh-CN"/>
        </w:rPr>
      </w:pPr>
      <w:r>
        <w:rPr>
          <w:rFonts w:hint="eastAsia" w:ascii="宋体" w:hAnsi="宋体"/>
          <w:color w:val="000000"/>
          <w:szCs w:val="21"/>
        </w:rPr>
        <w:t>法定代表人：</w:t>
      </w:r>
      <w:r>
        <w:rPr>
          <w:rFonts w:hint="eastAsia"/>
          <w:szCs w:val="21"/>
          <w:lang w:val="en-US" w:eastAsia="zh-CN"/>
        </w:rPr>
        <w:t>{B_Corporation}</w:t>
      </w:r>
    </w:p>
    <w:p>
      <w:pPr>
        <w:spacing w:line="340" w:lineRule="exact"/>
        <w:ind w:firstLine="420" w:firstLineChars="200"/>
        <w:rPr>
          <w:rFonts w:ascii="宋体" w:hAnsi="宋体"/>
          <w:color w:val="000000"/>
          <w:szCs w:val="21"/>
        </w:rPr>
      </w:pPr>
      <w:r>
        <w:rPr>
          <w:rFonts w:hint="eastAsia" w:ascii="宋体" w:hAnsi="宋体"/>
          <w:color w:val="000000"/>
          <w:szCs w:val="21"/>
        </w:rPr>
        <w:t>根据《中华人民共和国对外贸易法》、《中华人民共和国合同法》及其他相关法律法规的规定，甲、乙双方经友好协商，就甲方委托乙方代理进口包括但不限于【电子元器等】</w:t>
      </w:r>
      <w:r>
        <w:rPr>
          <w:rFonts w:ascii="宋体" w:hAnsi="宋体"/>
          <w:color w:val="000000"/>
          <w:szCs w:val="21"/>
        </w:rPr>
        <w:t>(</w:t>
      </w:r>
      <w:r>
        <w:rPr>
          <w:rFonts w:hint="eastAsia" w:ascii="宋体" w:hAnsi="宋体"/>
          <w:color w:val="000000"/>
          <w:szCs w:val="21"/>
        </w:rPr>
        <w:t>以下称“货物”</w:t>
      </w:r>
      <w:r>
        <w:rPr>
          <w:rFonts w:ascii="宋体" w:hAnsi="宋体"/>
          <w:color w:val="000000"/>
          <w:szCs w:val="21"/>
        </w:rPr>
        <w:t>)</w:t>
      </w:r>
      <w:r>
        <w:rPr>
          <w:rFonts w:hint="eastAsia" w:ascii="宋体" w:hAnsi="宋体"/>
          <w:color w:val="000000"/>
          <w:szCs w:val="21"/>
        </w:rPr>
        <w:t>事宜，达成协议如下：</w:t>
      </w:r>
    </w:p>
    <w:p>
      <w:pPr>
        <w:spacing w:line="340" w:lineRule="exact"/>
        <w:ind w:firstLine="420" w:firstLineChars="200"/>
        <w:rPr>
          <w:rFonts w:ascii="宋体" w:hAnsi="宋体"/>
          <w:color w:val="000000"/>
          <w:szCs w:val="21"/>
        </w:rPr>
      </w:pP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进口代理</w:t>
      </w:r>
    </w:p>
    <w:p>
      <w:pPr>
        <w:tabs>
          <w:tab w:val="left" w:pos="1080"/>
        </w:tabs>
        <w:spacing w:line="340" w:lineRule="exact"/>
        <w:ind w:left="563" w:leftChars="268"/>
        <w:rPr>
          <w:rFonts w:ascii="宋体" w:hAnsi="宋体"/>
          <w:color w:val="000000"/>
          <w:szCs w:val="21"/>
        </w:rPr>
      </w:pPr>
      <w:r>
        <w:rPr>
          <w:rFonts w:hint="eastAsia" w:ascii="宋体" w:hAnsi="宋体"/>
          <w:color w:val="000000"/>
          <w:szCs w:val="21"/>
        </w:rPr>
        <w:t>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甲方责任和义务</w:t>
      </w:r>
    </w:p>
    <w:p>
      <w:pPr>
        <w:numPr>
          <w:ilvl w:val="0"/>
          <w:numId w:val="2"/>
        </w:numPr>
        <w:tabs>
          <w:tab w:val="left" w:pos="1080"/>
        </w:tabs>
        <w:spacing w:line="340" w:lineRule="exact"/>
        <w:rPr>
          <w:rFonts w:ascii="宋体" w:hAnsi="宋体"/>
          <w:color w:val="000000"/>
          <w:szCs w:val="21"/>
        </w:rPr>
      </w:pPr>
      <w:r>
        <w:rPr>
          <w:rFonts w:hint="eastAsia"/>
          <w:color w:val="000000"/>
          <w:szCs w:val="21"/>
        </w:rPr>
        <w:t>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w:t>
      </w:r>
      <w:r>
        <w:rPr>
          <w:rFonts w:hint="eastAsia" w:ascii="宋体" w:hAnsi="宋体"/>
          <w:color w:val="000000"/>
          <w:szCs w:val="21"/>
        </w:rPr>
        <w:t>乙方报关、清关等过程中遭受任何损失的，甲方应负责足额赔偿；如因甲方货物未在香港完成进口清关程序，产生相对应的罚款由甲方承担。</w:t>
      </w:r>
    </w:p>
    <w:p>
      <w:pPr>
        <w:numPr>
          <w:ilvl w:val="0"/>
          <w:numId w:val="2"/>
        </w:numPr>
        <w:tabs>
          <w:tab w:val="left" w:pos="1080"/>
        </w:tabs>
        <w:spacing w:line="340" w:lineRule="exact"/>
        <w:rPr>
          <w:rFonts w:ascii="宋体" w:hAnsi="宋体"/>
          <w:color w:val="000000"/>
          <w:szCs w:val="21"/>
        </w:rPr>
      </w:pPr>
      <w:r>
        <w:rPr>
          <w:rFonts w:hint="eastAsia" w:ascii="宋体" w:hAnsi="宋体"/>
          <w:color w:val="000000"/>
          <w:szCs w:val="21"/>
        </w:rPr>
        <w:t>甲方应按照本协议第四条的约定，及时将购买货物所需的全部货款、代理费、仓前费及委托乙方代为支付的各项费用付至乙方帐户。</w:t>
      </w:r>
    </w:p>
    <w:p>
      <w:pPr>
        <w:numPr>
          <w:ilvl w:val="0"/>
          <w:numId w:val="2"/>
        </w:numPr>
        <w:tabs>
          <w:tab w:val="left" w:pos="1080"/>
        </w:tabs>
        <w:spacing w:line="340" w:lineRule="exact"/>
        <w:rPr>
          <w:rFonts w:ascii="宋体" w:hAnsi="宋体"/>
          <w:color w:val="000000"/>
          <w:szCs w:val="21"/>
        </w:rPr>
      </w:pPr>
      <w:r>
        <w:rPr>
          <w:rFonts w:hint="eastAsia" w:ascii="宋体" w:hAnsi="宋体"/>
          <w:color w:val="000000"/>
          <w:szCs w:val="21"/>
        </w:rPr>
        <w:t>除本协议第</w:t>
      </w:r>
      <w:r>
        <w:rPr>
          <w:rFonts w:ascii="宋体" w:hAnsi="宋体"/>
          <w:color w:val="000000"/>
          <w:szCs w:val="21"/>
        </w:rPr>
        <w:t>5.3</w:t>
      </w:r>
      <w:r>
        <w:rPr>
          <w:rFonts w:hint="eastAsia" w:ascii="宋体" w:hAnsi="宋体"/>
          <w:color w:val="000000"/>
          <w:szCs w:val="21"/>
        </w:rPr>
        <w:t>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乙方责任和义务</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乙方按照甲方确认的《委托进口货物确认单》内容代甲方办理货物的进口报关手续。</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乙方根据本协议以自己或者甲方代理人的名义单独或者与甲方一起与境外供货商或其他第三方签订进口合同（以下称“进口合同”）。</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乙方在收到甲方按照本协议第四条支付的货款后，代甲方办理对外付汇手续。乙方按照甲方确认的《付款</w:t>
      </w:r>
      <w:r>
        <w:rPr>
          <w:rFonts w:ascii="宋体" w:hAnsi="宋体"/>
          <w:color w:val="000000"/>
          <w:szCs w:val="21"/>
        </w:rPr>
        <w:t>/</w:t>
      </w:r>
      <w:r>
        <w:rPr>
          <w:rFonts w:hint="eastAsia" w:ascii="宋体" w:hAnsi="宋体"/>
          <w:color w:val="000000"/>
          <w:szCs w:val="21"/>
        </w:rPr>
        <w:t>汇委托确认书》内容代甲方对外付款。甲方须定时将业务委托文件原件邮寄给乙方。</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甲方授权甲方人员（见附件 《授权书》）对《委托进口货物确认单》及《付款</w:t>
      </w:r>
      <w:r>
        <w:rPr>
          <w:rFonts w:ascii="宋体" w:hAnsi="宋体"/>
          <w:color w:val="000000"/>
          <w:szCs w:val="21"/>
        </w:rPr>
        <w:t>/</w:t>
      </w:r>
      <w:r>
        <w:rPr>
          <w:rFonts w:hint="eastAsia" w:ascii="宋体" w:hAnsi="宋体"/>
          <w:color w:val="000000"/>
          <w:szCs w:val="21"/>
        </w:rPr>
        <w:t>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line="340" w:lineRule="exact"/>
        <w:rPr>
          <w:rFonts w:ascii="宋体" w:hAnsi="宋体"/>
          <w:color w:val="000000"/>
          <w:szCs w:val="21"/>
        </w:rPr>
      </w:pPr>
      <w:r>
        <w:rPr>
          <w:rFonts w:ascii="宋体" w:hAnsi="宋体" w:cs="宋体"/>
          <w:kern w:val="0"/>
          <w:sz w:val="24"/>
          <w:szCs w:val="24"/>
        </w:rPr>
        <w:t>NEWMAY INTERNATIONAL TRADE LIMITED</w:t>
      </w:r>
      <w:r>
        <w:rPr>
          <w:rFonts w:hint="eastAsia" w:ascii="宋体" w:hAnsi="宋体"/>
          <w:color w:val="000000"/>
          <w:szCs w:val="21"/>
        </w:rPr>
        <w:t>（以下简称“NEWMAY”）是乙方为进行国际贸易及跨境物流行业所必需的仓储、交易等活动而依法合作的香港公司。甲方同意其所委托的代理进口货物的境外部分将由NEWMAY负责实施。当甲方要求乙方先行支付境外货款时，乙方指定NEWMAY向甲方指定供货商支付美金或港币货款。当NEWMAY在境外支付货款给甲方指定的供货方时，甲方便不得以任何理由取消当次委托。否则，甲方同意向乙方支付全部损失。</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乙方提供的本条约定的服务统称“供应链服务”，乙方有权将本协议约定的供应链服务分包给其它第三方。</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color w:val="000000"/>
          <w:szCs w:val="21"/>
        </w:rPr>
        <w:t>《</w:t>
      </w:r>
      <w:r>
        <w:rPr>
          <w:rFonts w:hint="eastAsia" w:ascii="宋体" w:hAnsi="宋体"/>
          <w:b/>
          <w:color w:val="000000"/>
          <w:szCs w:val="21"/>
        </w:rPr>
        <w:t>进口合同</w:t>
      </w:r>
      <w:r>
        <w:rPr>
          <w:rFonts w:hint="eastAsia" w:ascii="宋体" w:hAnsi="宋体"/>
          <w:color w:val="000000"/>
          <w:szCs w:val="21"/>
        </w:rPr>
        <w:t>》</w:t>
      </w:r>
      <w:r>
        <w:rPr>
          <w:rFonts w:hint="eastAsia" w:ascii="宋体" w:hAnsi="宋体"/>
          <w:b/>
          <w:color w:val="000000"/>
          <w:szCs w:val="21"/>
        </w:rPr>
        <w:t>货款、代理费、通关及其支付和结算</w:t>
      </w:r>
    </w:p>
    <w:p>
      <w:pPr>
        <w:numPr>
          <w:ilvl w:val="0"/>
          <w:numId w:val="4"/>
        </w:numPr>
        <w:tabs>
          <w:tab w:val="left" w:pos="1080"/>
        </w:tabs>
        <w:spacing w:line="340" w:lineRule="exact"/>
        <w:rPr>
          <w:rFonts w:asciiTheme="minorEastAsia" w:hAnsiTheme="minorEastAsia" w:eastAsiaTheme="minorEastAsia"/>
          <w:szCs w:val="21"/>
        </w:rPr>
      </w:pPr>
      <w:r>
        <w:rPr>
          <w:rFonts w:hint="eastAsia" w:asciiTheme="minorEastAsia" w:hAnsiTheme="minorEastAsia" w:eastAsiaTheme="minorEastAsia"/>
          <w:szCs w:val="21"/>
        </w:rPr>
        <w:t>有关货款、代理费、通关及其支付和结算的具体报价参考协议的</w:t>
      </w:r>
      <w:r>
        <w:rPr>
          <w:rFonts w:hint="eastAsia" w:asciiTheme="minorEastAsia" w:hAnsiTheme="minorEastAsia" w:eastAsiaTheme="minorEastAsia"/>
          <w:szCs w:val="21"/>
          <w:highlight w:val="red"/>
        </w:rPr>
        <w:t>附件</w:t>
      </w:r>
      <w:r>
        <w:rPr>
          <w:rFonts w:hint="eastAsia" w:asciiTheme="minorEastAsia" w:hAnsiTheme="minorEastAsia" w:eastAsiaTheme="minorEastAsia"/>
          <w:szCs w:val="21"/>
          <w:highlight w:val="red"/>
          <w:lang w:val="en-US" w:eastAsia="zh-CN"/>
        </w:rPr>
        <w:t>2</w:t>
      </w:r>
      <w:r>
        <w:rPr>
          <w:rFonts w:hint="eastAsia" w:asciiTheme="minorEastAsia" w:hAnsiTheme="minorEastAsia" w:eastAsiaTheme="minorEastAsia"/>
          <w:szCs w:val="21"/>
        </w:rPr>
        <w:t>。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w:t>
      </w:r>
      <w:r>
        <w:rPr>
          <w:rFonts w:asciiTheme="minorEastAsia" w:hAnsiTheme="minorEastAsia" w:eastAsiaTheme="minorEastAsia"/>
          <w:szCs w:val="21"/>
        </w:rPr>
        <w:t>/</w:t>
      </w:r>
      <w:r>
        <w:rPr>
          <w:rFonts w:hint="eastAsia" w:asciiTheme="minorEastAsia" w:hAnsiTheme="minorEastAsia" w:eastAsiaTheme="minorEastAsia"/>
          <w:szCs w:val="21"/>
        </w:rPr>
        <w:t>保险费</w:t>
      </w:r>
      <w:r>
        <w:rPr>
          <w:rFonts w:asciiTheme="minorEastAsia" w:hAnsiTheme="minorEastAsia" w:eastAsiaTheme="minorEastAsia"/>
          <w:szCs w:val="21"/>
        </w:rPr>
        <w:t>/</w:t>
      </w:r>
      <w:r>
        <w:rPr>
          <w:rFonts w:hint="eastAsia" w:asciiTheme="minorEastAsia" w:hAnsiTheme="minorEastAsia" w:eastAsiaTheme="minorEastAsia"/>
          <w:szCs w:val="21"/>
        </w:rPr>
        <w:t>码头费</w:t>
      </w:r>
      <w:r>
        <w:rPr>
          <w:rFonts w:asciiTheme="minorEastAsia" w:hAnsiTheme="minorEastAsia" w:eastAsiaTheme="minorEastAsia"/>
          <w:szCs w:val="21"/>
        </w:rPr>
        <w:t>/</w:t>
      </w:r>
      <w:r>
        <w:rPr>
          <w:rFonts w:hint="eastAsia" w:asciiTheme="minorEastAsia" w:hAnsiTheme="minorEastAsia" w:eastAsiaTheme="minorEastAsia"/>
          <w:szCs w:val="21"/>
        </w:rPr>
        <w:t>提货费、香港入口报关费、乙方仓库超期仓储费、深圳至甲方指定的其它目的地运输费等）由甲方自行承担。</w:t>
      </w:r>
    </w:p>
    <w:p>
      <w:pPr>
        <w:numPr>
          <w:ilvl w:val="0"/>
          <w:numId w:val="4"/>
        </w:numPr>
        <w:tabs>
          <w:tab w:val="left" w:pos="1080"/>
        </w:tabs>
        <w:spacing w:line="340" w:lineRule="exact"/>
        <w:rPr>
          <w:rFonts w:hint="eastAsia" w:ascii="宋体" w:hAnsi="宋体"/>
          <w:kern w:val="0"/>
          <w:szCs w:val="21"/>
          <w:highlight w:val="red"/>
        </w:rPr>
      </w:pPr>
      <w:r>
        <w:rPr>
          <w:rFonts w:hint="eastAsia" w:ascii="宋体" w:hAnsi="宋体"/>
          <w:szCs w:val="21"/>
          <w:highlight w:val="red"/>
        </w:rPr>
        <w:t>甲方应按附件</w:t>
      </w:r>
      <w:r>
        <w:rPr>
          <w:rFonts w:hint="eastAsia" w:ascii="宋体" w:hAnsi="宋体"/>
          <w:szCs w:val="21"/>
          <w:highlight w:val="red"/>
          <w:lang w:val="en-US" w:eastAsia="zh-CN"/>
        </w:rPr>
        <w:t>2</w:t>
      </w:r>
      <w:r>
        <w:rPr>
          <w:rFonts w:hint="eastAsia" w:ascii="宋体" w:hAnsi="宋体"/>
          <w:szCs w:val="21"/>
          <w:highlight w:val="red"/>
        </w:rPr>
        <w:t>约定给乙方支付货款，乙方按约定开具发票。</w:t>
      </w:r>
    </w:p>
    <w:p>
      <w:pPr>
        <w:numPr>
          <w:ilvl w:val="0"/>
          <w:numId w:val="4"/>
        </w:numPr>
        <w:tabs>
          <w:tab w:val="left" w:pos="1080"/>
        </w:tabs>
        <w:spacing w:line="340" w:lineRule="exact"/>
        <w:rPr>
          <w:rFonts w:ascii="宋体" w:hAnsi="宋体"/>
          <w:color w:val="000000"/>
          <w:kern w:val="0"/>
          <w:szCs w:val="21"/>
          <w:highlight w:val="red"/>
        </w:rPr>
      </w:pPr>
      <w:r>
        <w:rPr>
          <w:rFonts w:hint="eastAsia" w:ascii="宋体" w:hAnsi="宋体"/>
          <w:kern w:val="0"/>
          <w:szCs w:val="21"/>
          <w:highlight w:val="red"/>
        </w:rPr>
        <w:t>甲方应在有效期内安排付汇，付汇手续费实结。进口对外付汇额度</w:t>
      </w:r>
      <w:r>
        <w:rPr>
          <w:rFonts w:hint="eastAsia" w:ascii="宋体" w:hAnsi="宋体"/>
          <w:kern w:val="0"/>
          <w:szCs w:val="21"/>
          <w:highlight w:val="red"/>
          <w:u w:val="single"/>
        </w:rPr>
        <w:t>90</w:t>
      </w:r>
      <w:r>
        <w:rPr>
          <w:rFonts w:hint="eastAsia" w:ascii="宋体" w:hAnsi="宋体"/>
          <w:kern w:val="0"/>
          <w:szCs w:val="21"/>
          <w:highlight w:val="red"/>
        </w:rPr>
        <w:t>天内有效。</w:t>
      </w:r>
    </w:p>
    <w:p>
      <w:pPr>
        <w:numPr>
          <w:ilvl w:val="0"/>
          <w:numId w:val="4"/>
        </w:numPr>
        <w:tabs>
          <w:tab w:val="left" w:pos="1080"/>
        </w:tabs>
        <w:spacing w:line="340" w:lineRule="exact"/>
        <w:rPr>
          <w:rFonts w:ascii="宋体" w:hAnsi="宋体"/>
          <w:color w:val="000000"/>
          <w:szCs w:val="21"/>
        </w:rPr>
      </w:pPr>
      <w:r>
        <w:rPr>
          <w:rFonts w:hint="eastAsia" w:ascii="宋体" w:hAnsi="宋体"/>
          <w:color w:val="000000"/>
          <w:szCs w:val="21"/>
        </w:rPr>
        <w:t>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货物交付、验收以及风险承担</w:t>
      </w:r>
    </w:p>
    <w:p>
      <w:pPr>
        <w:numPr>
          <w:ilvl w:val="0"/>
          <w:numId w:val="5"/>
        </w:numPr>
        <w:spacing w:line="340" w:lineRule="exact"/>
        <w:rPr>
          <w:rFonts w:ascii="宋体" w:hAnsi="宋体"/>
          <w:color w:val="000000"/>
          <w:szCs w:val="21"/>
        </w:rPr>
      </w:pPr>
      <w:r>
        <w:rPr>
          <w:rFonts w:hint="eastAsia" w:ascii="宋体" w:hAnsi="宋体"/>
          <w:color w:val="000000"/>
          <w:szCs w:val="21"/>
        </w:rPr>
        <w:t>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line="340" w:lineRule="exact"/>
        <w:rPr>
          <w:rFonts w:ascii="宋体" w:hAnsi="宋体"/>
          <w:color w:val="000000"/>
          <w:szCs w:val="21"/>
        </w:rPr>
      </w:pPr>
      <w:r>
        <w:rPr>
          <w:rFonts w:hint="eastAsia" w:ascii="宋体" w:hAnsi="宋体"/>
          <w:color w:val="000000"/>
          <w:szCs w:val="21"/>
        </w:rPr>
        <w:t>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line="340" w:lineRule="exact"/>
        <w:rPr>
          <w:rFonts w:ascii="宋体" w:hAnsi="宋体"/>
          <w:color w:val="000000"/>
          <w:szCs w:val="21"/>
        </w:rPr>
      </w:pPr>
      <w:r>
        <w:rPr>
          <w:rFonts w:hint="eastAsia" w:ascii="宋体" w:hAnsi="宋体"/>
          <w:color w:val="000000"/>
          <w:szCs w:val="21"/>
        </w:rPr>
        <w:t>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line="340" w:lineRule="exact"/>
        <w:rPr>
          <w:rFonts w:ascii="宋体" w:hAnsi="宋体"/>
          <w:color w:val="000000"/>
          <w:szCs w:val="21"/>
        </w:rPr>
      </w:pPr>
      <w:r>
        <w:rPr>
          <w:rFonts w:hint="eastAsia" w:ascii="宋体" w:hAnsi="宋体"/>
          <w:color w:val="000000"/>
          <w:szCs w:val="21"/>
        </w:rPr>
        <w:t>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hint="eastAsia" w:ascii="宋体" w:hAnsi="宋体"/>
          <w:color w:val="000000"/>
          <w:szCs w:val="21"/>
        </w:rPr>
        <w:t>甲方应承担相应责任。</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合同的变更</w:t>
      </w:r>
    </w:p>
    <w:p>
      <w:pPr>
        <w:tabs>
          <w:tab w:val="left" w:pos="1080"/>
        </w:tabs>
        <w:spacing w:line="340" w:lineRule="exact"/>
        <w:ind w:left="563" w:leftChars="268"/>
        <w:rPr>
          <w:rFonts w:ascii="宋体" w:hAnsi="宋体"/>
          <w:color w:val="000000"/>
          <w:szCs w:val="21"/>
        </w:rPr>
      </w:pPr>
      <w:r>
        <w:rPr>
          <w:rFonts w:hint="eastAsia" w:ascii="宋体" w:hAnsi="宋体"/>
          <w:color w:val="000000"/>
          <w:szCs w:val="21"/>
        </w:rPr>
        <w:t>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保密条款</w:t>
      </w:r>
    </w:p>
    <w:p>
      <w:pPr>
        <w:tabs>
          <w:tab w:val="left" w:pos="1080"/>
        </w:tabs>
        <w:spacing w:line="340" w:lineRule="exact"/>
        <w:ind w:left="563" w:leftChars="268"/>
        <w:rPr>
          <w:rFonts w:ascii="宋体" w:hAnsi="宋体"/>
          <w:color w:val="000000"/>
          <w:szCs w:val="21"/>
        </w:rPr>
      </w:pPr>
      <w:r>
        <w:rPr>
          <w:rFonts w:hint="eastAsia" w:ascii="宋体" w:hAnsi="宋体"/>
          <w:color w:val="000000"/>
          <w:szCs w:val="21"/>
        </w:rPr>
        <w:t>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违约责任</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如甲方未按照本协议第四条的规定及时支付有关款项，应按逾期支付款项的</w:t>
      </w:r>
      <w:r>
        <w:rPr>
          <w:rFonts w:ascii="宋体" w:hAnsi="宋体"/>
          <w:color w:val="000000"/>
          <w:szCs w:val="21"/>
        </w:rPr>
        <w:t>0.1</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日的标准向乙方支付滞纳金，且乙方有权暂停代理行为，由此造成的损失由甲方承担；逾期付款超过</w:t>
      </w:r>
      <w:r>
        <w:rPr>
          <w:rFonts w:ascii="宋体" w:hAnsi="宋体"/>
          <w:color w:val="000000"/>
          <w:szCs w:val="21"/>
        </w:rPr>
        <w:t>30</w:t>
      </w:r>
      <w:r>
        <w:rPr>
          <w:rFonts w:hint="eastAsia" w:ascii="宋体" w:hAnsi="宋体"/>
          <w:color w:val="000000"/>
          <w:szCs w:val="21"/>
        </w:rPr>
        <w:t>日的，乙方有权解除本协议并要求甲方赔偿因此遭受的一切损失。</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在甲方按照本合同第四条的规定支付全部款项前，乙方有权留置代理甲方进口的货物。若甲方迟延付款超过</w:t>
      </w:r>
      <w:r>
        <w:rPr>
          <w:rFonts w:ascii="宋体" w:hAnsi="宋体"/>
          <w:color w:val="000000"/>
          <w:szCs w:val="21"/>
        </w:rPr>
        <w:t>30</w:t>
      </w:r>
      <w:r>
        <w:rPr>
          <w:rFonts w:hint="eastAsia" w:ascii="宋体" w:hAnsi="宋体"/>
          <w:color w:val="000000"/>
          <w:szCs w:val="21"/>
        </w:rPr>
        <w:t>日，乙方有权变卖留置的货物，并就变卖后的价款优先受偿。</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如甲方未能及时提取货物，应承担延迟提货期间发生的货物仓储费及其它费用；甲方逾期超过</w:t>
      </w:r>
      <w:r>
        <w:rPr>
          <w:rFonts w:ascii="宋体" w:hAnsi="宋体"/>
          <w:color w:val="000000"/>
          <w:szCs w:val="21"/>
        </w:rPr>
        <w:t>90</w:t>
      </w:r>
      <w:r>
        <w:rPr>
          <w:rFonts w:hint="eastAsia" w:ascii="宋体" w:hAnsi="宋体"/>
          <w:color w:val="000000"/>
          <w:szCs w:val="21"/>
        </w:rPr>
        <w:t>日不提货的，乙方有权解除本协议并变卖未提取货物，并就变卖后的价款优先受偿。</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甲方拒绝履行本协议下的义务或乙方为履行本协议及《进口合同》而提出的合理要求，而导致乙方不能对外履行《进口合同》或提供本协议下供应链服务的，由此产生的一切损失由甲方全部承担，如造成乙方损失的，甲方应足额赔偿。</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争议的解决</w:t>
      </w:r>
    </w:p>
    <w:p>
      <w:pPr>
        <w:numPr>
          <w:ilvl w:val="0"/>
          <w:numId w:val="7"/>
        </w:numPr>
        <w:tabs>
          <w:tab w:val="left" w:pos="1080"/>
        </w:tabs>
        <w:spacing w:line="340" w:lineRule="exact"/>
        <w:rPr>
          <w:rFonts w:ascii="宋体" w:hAnsi="宋体"/>
          <w:color w:val="000000"/>
          <w:szCs w:val="21"/>
        </w:rPr>
      </w:pPr>
      <w:r>
        <w:rPr>
          <w:rFonts w:hint="eastAsia" w:ascii="宋体" w:hAnsi="宋体"/>
          <w:color w:val="000000"/>
          <w:szCs w:val="21"/>
        </w:rPr>
        <w:t>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7"/>
        </w:numPr>
        <w:tabs>
          <w:tab w:val="left" w:pos="1080"/>
        </w:tabs>
        <w:spacing w:line="340" w:lineRule="exact"/>
        <w:rPr>
          <w:rFonts w:ascii="宋体" w:hAnsi="宋体"/>
          <w:color w:val="000000"/>
          <w:szCs w:val="21"/>
        </w:rPr>
      </w:pPr>
      <w:r>
        <w:rPr>
          <w:rFonts w:hint="eastAsia" w:ascii="宋体" w:hAnsi="宋体"/>
          <w:color w:val="000000"/>
          <w:szCs w:val="21"/>
        </w:rPr>
        <w:t>甲乙双方同意，在执行本协议过程中所发生的纠纷应首先通过友好协商解决；协商不成的，任何一方均可向深圳市福田区人民法院提请诉讼，本协议适用中华人民共和国法律。</w:t>
      </w:r>
    </w:p>
    <w:p>
      <w:pPr>
        <w:numPr>
          <w:ilvl w:val="0"/>
          <w:numId w:val="7"/>
        </w:numPr>
        <w:tabs>
          <w:tab w:val="left" w:pos="1080"/>
        </w:tabs>
        <w:spacing w:line="340" w:lineRule="exact"/>
        <w:rPr>
          <w:rFonts w:ascii="宋体" w:hAnsi="宋体"/>
          <w:color w:val="000000"/>
          <w:szCs w:val="21"/>
        </w:rPr>
      </w:pPr>
      <w:r>
        <w:rPr>
          <w:rFonts w:hint="eastAsia" w:ascii="宋体" w:hAnsi="宋体"/>
          <w:color w:val="000000"/>
          <w:szCs w:val="21"/>
        </w:rPr>
        <w:t>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其他约定</w:t>
      </w:r>
    </w:p>
    <w:p>
      <w:pPr>
        <w:numPr>
          <w:ilvl w:val="0"/>
          <w:numId w:val="8"/>
        </w:numPr>
        <w:tabs>
          <w:tab w:val="left" w:pos="1080"/>
        </w:tabs>
        <w:spacing w:line="340" w:lineRule="exact"/>
        <w:rPr>
          <w:rFonts w:ascii="宋体" w:hAnsi="宋体"/>
          <w:color w:val="000000"/>
          <w:szCs w:val="21"/>
        </w:rPr>
      </w:pPr>
      <w:r>
        <w:rPr>
          <w:rFonts w:hint="eastAsia" w:ascii="宋体" w:hAnsi="宋体"/>
          <w:color w:val="000000"/>
          <w:szCs w:val="21"/>
        </w:rPr>
        <w:t>本协议有效期自</w:t>
      </w:r>
      <w:r>
        <w:rPr>
          <w:rFonts w:hint="eastAsia" w:ascii="宋体" w:hAnsi="宋体"/>
          <w:color w:val="000000"/>
          <w:szCs w:val="21"/>
          <w:lang w:val="en-US" w:eastAsia="zh-CN"/>
        </w:rPr>
        <w:t>{StartDate}</w:t>
      </w:r>
      <w:r>
        <w:rPr>
          <w:rFonts w:hint="eastAsia" w:ascii="宋体" w:hAnsi="宋体"/>
          <w:color w:val="000000"/>
          <w:szCs w:val="21"/>
        </w:rPr>
        <w:t>起至</w:t>
      </w:r>
      <w:r>
        <w:rPr>
          <w:rFonts w:hint="eastAsia" w:ascii="宋体" w:hAnsi="宋体"/>
          <w:color w:val="000000"/>
          <w:szCs w:val="21"/>
          <w:lang w:val="en-US" w:eastAsia="zh-CN"/>
        </w:rPr>
        <w:t>{EndDate}</w:t>
      </w:r>
      <w:r>
        <w:rPr>
          <w:rFonts w:hint="eastAsia" w:ascii="宋体" w:hAnsi="宋体"/>
          <w:color w:val="000000"/>
          <w:szCs w:val="21"/>
        </w:rPr>
        <w:t>止，为期【</w:t>
      </w:r>
      <w:r>
        <w:rPr>
          <w:rFonts w:hint="eastAsia" w:ascii="宋体" w:hAnsi="宋体"/>
          <w:color w:val="000000"/>
          <w:szCs w:val="21"/>
          <w:lang w:val="en-US" w:eastAsia="zh-CN"/>
        </w:rPr>
        <w:t>{Years}</w:t>
      </w:r>
      <w:r>
        <w:rPr>
          <w:rFonts w:hint="eastAsia" w:ascii="宋体" w:hAnsi="宋体"/>
          <w:color w:val="000000"/>
          <w:szCs w:val="21"/>
        </w:rPr>
        <w:t>】年。本协议到期前，如甲乙双方未重新签订，则本协议有效无限期自动顺延。若合同变更，则双方签署《补充协议》为主合同的有效附件，具有同等法律地位。</w:t>
      </w:r>
    </w:p>
    <w:p>
      <w:pPr>
        <w:numPr>
          <w:ilvl w:val="0"/>
          <w:numId w:val="8"/>
        </w:numPr>
        <w:tabs>
          <w:tab w:val="left" w:pos="1080"/>
        </w:tabs>
        <w:spacing w:line="340" w:lineRule="exact"/>
        <w:rPr>
          <w:rFonts w:ascii="宋体" w:hAnsi="宋体"/>
          <w:color w:val="000000"/>
          <w:szCs w:val="21"/>
        </w:rPr>
      </w:pPr>
      <w:r>
        <w:rPr>
          <w:rFonts w:hint="eastAsia" w:ascii="宋体" w:hAnsi="宋体"/>
          <w:color w:val="000000"/>
          <w:szCs w:val="21"/>
        </w:rPr>
        <w:t>本协议一式两份，甲乙双方各持一份，具有同等法律效力。本协议由双方加盖公章（或合同专用章）后生效。</w:t>
      </w:r>
    </w:p>
    <w:p>
      <w:pPr>
        <w:tabs>
          <w:tab w:val="left" w:pos="1080"/>
        </w:tabs>
        <w:spacing w:line="340" w:lineRule="exact"/>
        <w:ind w:left="567"/>
        <w:rPr>
          <w:rFonts w:ascii="宋体" w:hAnsi="宋体"/>
          <w:color w:val="000000"/>
          <w:szCs w:val="21"/>
        </w:rPr>
      </w:pPr>
    </w:p>
    <w:p>
      <w:pPr>
        <w:spacing w:line="340" w:lineRule="exact"/>
        <w:rPr>
          <w:rFonts w:ascii="宋体" w:hAnsi="宋体"/>
          <w:b/>
          <w:color w:val="000000"/>
          <w:szCs w:val="21"/>
        </w:rPr>
      </w:pPr>
      <w:r>
        <w:rPr>
          <w:rFonts w:hint="eastAsia" w:ascii="宋体" w:hAnsi="宋体"/>
          <w:b/>
          <w:color w:val="000000"/>
          <w:szCs w:val="21"/>
        </w:rPr>
        <w:t>附件</w:t>
      </w:r>
      <w:r>
        <w:rPr>
          <w:rFonts w:ascii="宋体" w:hAnsi="宋体"/>
          <w:b/>
          <w:color w:val="000000"/>
          <w:szCs w:val="21"/>
        </w:rPr>
        <w:t>1</w:t>
      </w:r>
      <w:r>
        <w:rPr>
          <w:rFonts w:hint="eastAsia" w:ascii="宋体" w:hAnsi="宋体"/>
          <w:b/>
          <w:color w:val="000000"/>
          <w:szCs w:val="21"/>
        </w:rPr>
        <w:t>：授权书</w:t>
      </w:r>
    </w:p>
    <w:p>
      <w:pPr>
        <w:spacing w:line="340" w:lineRule="exact"/>
        <w:rPr>
          <w:rFonts w:ascii="宋体" w:hAnsi="宋体"/>
          <w:b/>
          <w:color w:val="000000"/>
          <w:szCs w:val="21"/>
        </w:rPr>
      </w:pPr>
    </w:p>
    <w:p>
      <w:pPr>
        <w:spacing w:line="340" w:lineRule="exact"/>
        <w:rPr>
          <w:rFonts w:ascii="宋体" w:hAnsi="宋体"/>
          <w:b/>
          <w:color w:val="000000" w:themeColor="text1"/>
          <w:szCs w:val="21"/>
          <w14:textFill>
            <w14:solidFill>
              <w14:schemeClr w14:val="tx1"/>
            </w14:solidFill>
          </w14:textFill>
        </w:rPr>
      </w:pPr>
      <w:r>
        <w:rPr>
          <w:rFonts w:hint="eastAsia" w:ascii="宋体" w:hAnsi="宋体"/>
          <w:b/>
          <w:color w:val="000000"/>
          <w:szCs w:val="21"/>
        </w:rPr>
        <w:t>甲方：</w:t>
      </w:r>
      <w:r>
        <w:rPr>
          <w:rFonts w:hint="eastAsia" w:ascii="宋体" w:hAnsi="宋体"/>
          <w:b/>
          <w:color w:val="000000"/>
          <w:szCs w:val="21"/>
          <w:lang w:val="en-US" w:eastAsia="zh-CN"/>
        </w:rPr>
        <w:t>{ClientName}</w:t>
      </w:r>
    </w:p>
    <w:p>
      <w:pPr>
        <w:spacing w:line="340" w:lineRule="exact"/>
        <w:rPr>
          <w:rFonts w:ascii="宋体" w:hAnsi="宋体"/>
          <w:color w:val="000000"/>
          <w:szCs w:val="21"/>
        </w:rPr>
      </w:pPr>
      <w:r>
        <w:rPr>
          <w:rFonts w:hint="eastAsia" w:ascii="宋体" w:hAnsi="宋体"/>
          <w:color w:val="000000"/>
          <w:szCs w:val="21"/>
        </w:rPr>
        <w:t>签约代表：</w:t>
      </w:r>
    </w:p>
    <w:p>
      <w:pPr>
        <w:spacing w:line="340" w:lineRule="exact"/>
        <w:rPr>
          <w:rFonts w:ascii="宋体" w:hAnsi="宋体"/>
          <w:color w:val="000000"/>
          <w:szCs w:val="21"/>
        </w:rPr>
      </w:pPr>
      <w:r>
        <w:rPr>
          <w:rFonts w:hint="eastAsia" w:ascii="宋体" w:hAnsi="宋体"/>
          <w:color w:val="000000"/>
          <w:szCs w:val="21"/>
        </w:rPr>
        <w:t>签约日期：</w:t>
      </w:r>
    </w:p>
    <w:p>
      <w:pPr>
        <w:spacing w:line="340" w:lineRule="exact"/>
        <w:rPr>
          <w:rFonts w:ascii="宋体" w:hAnsi="宋体"/>
          <w:b/>
          <w:color w:val="000000"/>
          <w:szCs w:val="21"/>
        </w:rPr>
      </w:pPr>
      <w:r>
        <w:rPr>
          <w:rFonts w:ascii="宋体" w:hAnsi="宋体"/>
          <w:b/>
          <w:color w:val="000000"/>
          <w:szCs w:val="21"/>
        </w:rPr>
        <w:t xml:space="preserve"> </w:t>
      </w:r>
    </w:p>
    <w:p>
      <w:pPr>
        <w:spacing w:line="340" w:lineRule="exact"/>
        <w:rPr>
          <w:rFonts w:hint="eastAsia" w:ascii="宋体" w:hAnsi="宋体"/>
          <w:b/>
          <w:color w:val="000000"/>
          <w:szCs w:val="21"/>
          <w:lang w:val="en-US" w:eastAsia="zh-CN"/>
        </w:rPr>
      </w:pPr>
      <w:r>
        <w:rPr>
          <w:rFonts w:hint="eastAsia" w:ascii="宋体" w:hAnsi="宋体"/>
          <w:b/>
          <w:color w:val="000000"/>
          <w:szCs w:val="21"/>
        </w:rPr>
        <w:t>乙方：</w:t>
      </w:r>
      <w:r>
        <w:rPr>
          <w:rFonts w:hint="eastAsia" w:ascii="宋体" w:hAnsi="宋体"/>
          <w:b/>
          <w:color w:val="000000"/>
          <w:szCs w:val="21"/>
          <w:lang w:val="en-US" w:eastAsia="zh-CN"/>
        </w:rPr>
        <w:t>{B_CompanyName}</w:t>
      </w:r>
    </w:p>
    <w:p>
      <w:pPr>
        <w:spacing w:line="340" w:lineRule="exact"/>
        <w:rPr>
          <w:rFonts w:ascii="宋体" w:hAnsi="宋体"/>
          <w:color w:val="000000"/>
          <w:szCs w:val="21"/>
        </w:rPr>
      </w:pPr>
      <w:r>
        <w:rPr>
          <w:rFonts w:hint="eastAsia" w:ascii="宋体" w:hAnsi="宋体"/>
          <w:color w:val="000000"/>
          <w:szCs w:val="21"/>
        </w:rPr>
        <w:t>签约代表：</w:t>
      </w:r>
    </w:p>
    <w:p>
      <w:pPr>
        <w:spacing w:line="340" w:lineRule="exact"/>
        <w:rPr>
          <w:rFonts w:ascii="宋体" w:hAnsi="宋体"/>
          <w:color w:val="000000"/>
          <w:szCs w:val="21"/>
        </w:rPr>
      </w:pPr>
      <w:r>
        <w:rPr>
          <w:rFonts w:hint="eastAsia" w:ascii="宋体" w:hAnsi="宋体"/>
          <w:color w:val="000000"/>
          <w:szCs w:val="21"/>
        </w:rPr>
        <w:t>签约日期：</w:t>
      </w:r>
    </w:p>
    <w:p>
      <w:pPr>
        <w:spacing w:line="340" w:lineRule="exact"/>
        <w:rPr>
          <w:b/>
          <w:color w:val="000000"/>
          <w:kern w:val="0"/>
          <w:szCs w:val="21"/>
        </w:rPr>
      </w:pPr>
    </w:p>
    <w:p>
      <w:pPr>
        <w:widowControl/>
        <w:jc w:val="left"/>
        <w:rPr>
          <w:rFonts w:ascii="宋体" w:hAnsi="宋体"/>
          <w:color w:val="000000"/>
          <w:szCs w:val="21"/>
        </w:rPr>
      </w:pPr>
    </w:p>
    <w:p>
      <w:pPr>
        <w:tabs>
          <w:tab w:val="left" w:pos="1080"/>
        </w:tabs>
        <w:spacing w:line="340" w:lineRule="exact"/>
        <w:ind w:left="426" w:leftChars="203"/>
        <w:rPr>
          <w:rFonts w:ascii="宋体" w:hAnsi="宋体"/>
          <w:color w:val="000000"/>
          <w:szCs w:val="21"/>
        </w:rPr>
      </w:pPr>
    </w:p>
    <w:p>
      <w:pPr>
        <w:pStyle w:val="3"/>
        <w:jc w:val="center"/>
        <w:rPr>
          <w:rFonts w:ascii="Times New Roman" w:hAnsi="Times New Roman"/>
          <w:color w:val="000000"/>
        </w:rPr>
      </w:pPr>
    </w:p>
    <w:p/>
    <w:p/>
    <w:p/>
    <w:p>
      <w:pPr>
        <w:pStyle w:val="3"/>
        <w:jc w:val="center"/>
        <w:rPr>
          <w:rFonts w:hint="eastAsia" w:ascii="Times New Roman" w:hAnsi="Times New Roman"/>
          <w:color w:val="000000"/>
        </w:rPr>
      </w:pPr>
    </w:p>
    <w:p>
      <w:pPr>
        <w:pStyle w:val="3"/>
        <w:jc w:val="both"/>
        <w:rPr>
          <w:rFonts w:hint="eastAsia" w:ascii="Times New Roman" w:hAnsi="Times New Roman"/>
          <w:color w:val="000000"/>
        </w:rPr>
      </w:pPr>
    </w:p>
    <w:p>
      <w:pPr>
        <w:rPr>
          <w:rFonts w:hint="eastAsia" w:ascii="Times New Roman" w:hAnsi="Times New Roman"/>
          <w:color w:val="000000"/>
        </w:rPr>
      </w:pPr>
    </w:p>
    <w:p>
      <w:pPr>
        <w:rPr>
          <w:rFonts w:hint="eastAsia" w:ascii="Times New Roman" w:hAnsi="Times New Roman"/>
          <w:color w:val="000000"/>
        </w:rPr>
      </w:pPr>
    </w:p>
    <w:p>
      <w:pPr>
        <w:pStyle w:val="3"/>
        <w:jc w:val="center"/>
        <w:rPr>
          <w:rFonts w:hint="eastAsia" w:ascii="Times New Roman" w:hAnsi="Times New Roman"/>
          <w:color w:val="000000"/>
        </w:rPr>
      </w:pPr>
    </w:p>
    <w:p>
      <w:pPr>
        <w:pStyle w:val="3"/>
        <w:jc w:val="center"/>
        <w:rPr>
          <w:rFonts w:ascii="Times New Roman" w:hAnsi="Times New Roman"/>
          <w:color w:val="000000"/>
        </w:rPr>
      </w:pPr>
      <w:r>
        <w:rPr>
          <w:rFonts w:hint="eastAsia" w:ascii="Times New Roman" w:hAnsi="Times New Roman"/>
          <w:color w:val="000000"/>
        </w:rPr>
        <w:t>授</w:t>
      </w:r>
      <w:r>
        <w:rPr>
          <w:rFonts w:ascii="Times New Roman" w:hAnsi="Times New Roman"/>
          <w:color w:val="000000"/>
        </w:rPr>
        <w:t xml:space="preserve"> </w:t>
      </w:r>
      <w:r>
        <w:rPr>
          <w:rFonts w:hint="eastAsia" w:ascii="Times New Roman" w:hAnsi="Times New Roman"/>
          <w:color w:val="000000"/>
        </w:rPr>
        <w:t>权</w:t>
      </w:r>
      <w:r>
        <w:rPr>
          <w:rFonts w:ascii="Times New Roman" w:hAnsi="Times New Roman"/>
          <w:color w:val="000000"/>
        </w:rPr>
        <w:t xml:space="preserve"> </w:t>
      </w:r>
      <w:r>
        <w:rPr>
          <w:rFonts w:hint="eastAsia" w:ascii="Times New Roman" w:hAnsi="Times New Roman"/>
          <w:color w:val="000000"/>
        </w:rPr>
        <w:t>书</w:t>
      </w:r>
    </w:p>
    <w:p>
      <w:pPr>
        <w:adjustRightInd w:val="0"/>
        <w:snapToGrid w:val="0"/>
        <w:spacing w:line="420" w:lineRule="exact"/>
        <w:ind w:firstLine="420" w:firstLineChars="200"/>
        <w:jc w:val="left"/>
        <w:rPr>
          <w:color w:val="000000"/>
          <w:szCs w:val="21"/>
        </w:rPr>
      </w:pPr>
      <w:r>
        <w:rPr>
          <w:rFonts w:hint="eastAsia"/>
          <w:color w:val="000000"/>
          <w:szCs w:val="21"/>
        </w:rPr>
        <w:t>兹授权我司以下人员在与</w:t>
      </w:r>
      <w:r>
        <w:rPr>
          <w:rFonts w:hint="eastAsia"/>
          <w:color w:val="000000"/>
          <w:szCs w:val="21"/>
          <w:lang w:eastAsia="zh-CN"/>
        </w:rPr>
        <w:t>深圳市芯达通供应链管理有限公司</w:t>
      </w:r>
      <w:r>
        <w:rPr>
          <w:rFonts w:hint="eastAsia"/>
          <w:color w:val="000000"/>
          <w:szCs w:val="21"/>
        </w:rPr>
        <w:t>的业务往来中所签署的业务单证（《</w:t>
      </w:r>
      <w:r>
        <w:rPr>
          <w:rFonts w:hint="eastAsia" w:ascii="宋体" w:hAnsi="宋体"/>
          <w:color w:val="000000"/>
          <w:szCs w:val="21"/>
        </w:rPr>
        <w:t>委托进口货物确认单</w:t>
      </w:r>
      <w:r>
        <w:rPr>
          <w:rFonts w:hint="eastAsia"/>
          <w:color w:val="000000"/>
          <w:szCs w:val="21"/>
        </w:rPr>
        <w:t>》、《付汇委托书》、《货物签收单》等）均视为有效。本授权书有效期限与供应链服务协议一致；以上授权人员如有更改，我司将以书面形式通知。</w:t>
      </w:r>
    </w:p>
    <w:p>
      <w:pPr>
        <w:adjustRightInd w:val="0"/>
        <w:snapToGrid w:val="0"/>
        <w:spacing w:line="420" w:lineRule="exact"/>
        <w:ind w:firstLine="420" w:firstLineChars="200"/>
        <w:jc w:val="left"/>
        <w:rPr>
          <w:color w:val="000000"/>
          <w:szCs w:val="21"/>
        </w:rPr>
      </w:pPr>
      <w:r>
        <w:rPr>
          <w:rFonts w:hint="eastAsia"/>
          <w:color w:val="000000"/>
          <w:szCs w:val="21"/>
        </w:rPr>
        <w:t>授权代表签字具体如下：</w:t>
      </w:r>
    </w:p>
    <w:p>
      <w:pPr>
        <w:adjustRightInd w:val="0"/>
        <w:snapToGrid w:val="0"/>
        <w:spacing w:line="420" w:lineRule="exact"/>
        <w:ind w:firstLine="420" w:firstLineChars="200"/>
        <w:jc w:val="left"/>
        <w:rPr>
          <w:color w:val="000000"/>
          <w:szCs w:val="21"/>
        </w:rPr>
      </w:pPr>
    </w:p>
    <w:tbl>
      <w:tblPr>
        <w:tblStyle w:val="6"/>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序号</w:t>
            </w:r>
          </w:p>
        </w:tc>
        <w:tc>
          <w:tcPr>
            <w:tcW w:w="87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姓名</w:t>
            </w:r>
          </w:p>
        </w:tc>
        <w:tc>
          <w:tcPr>
            <w:tcW w:w="155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签字样式</w:t>
            </w:r>
          </w:p>
        </w:tc>
        <w:tc>
          <w:tcPr>
            <w:tcW w:w="2551"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授权范围</w:t>
            </w:r>
          </w:p>
        </w:tc>
        <w:tc>
          <w:tcPr>
            <w:tcW w:w="311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联系电话及邮箱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1</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进口委托确认及货物相关信息确认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2</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对帐确认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3</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付汇委托确认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4</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货物签收</w:t>
            </w:r>
          </w:p>
        </w:tc>
        <w:tc>
          <w:tcPr>
            <w:tcW w:w="3119" w:type="dxa"/>
            <w:vAlign w:val="center"/>
          </w:tcPr>
          <w:p>
            <w:pPr>
              <w:adjustRightInd w:val="0"/>
              <w:snapToGrid w:val="0"/>
              <w:spacing w:line="420" w:lineRule="exact"/>
              <w:rPr>
                <w:color w:val="000000"/>
                <w:kern w:val="0"/>
                <w:sz w:val="20"/>
                <w:szCs w:val="21"/>
              </w:rPr>
            </w:pPr>
          </w:p>
        </w:tc>
      </w:tr>
    </w:tbl>
    <w:p>
      <w:pPr>
        <w:adjustRightInd w:val="0"/>
        <w:snapToGrid w:val="0"/>
        <w:spacing w:line="420" w:lineRule="exact"/>
        <w:jc w:val="left"/>
        <w:rPr>
          <w:color w:val="000000"/>
          <w:szCs w:val="21"/>
        </w:rPr>
      </w:pPr>
    </w:p>
    <w:p>
      <w:pPr>
        <w:adjustRightInd w:val="0"/>
        <w:snapToGrid w:val="0"/>
        <w:spacing w:line="420" w:lineRule="exact"/>
        <w:jc w:val="left"/>
        <w:rPr>
          <w:color w:val="000000"/>
          <w:szCs w:val="21"/>
        </w:rPr>
      </w:pPr>
    </w:p>
    <w:p>
      <w:pPr>
        <w:adjustRightInd w:val="0"/>
        <w:snapToGrid w:val="0"/>
        <w:spacing w:line="420" w:lineRule="exact"/>
        <w:jc w:val="left"/>
        <w:rPr>
          <w:color w:val="000000"/>
          <w:szCs w:val="21"/>
        </w:rPr>
      </w:pPr>
    </w:p>
    <w:p>
      <w:pPr>
        <w:tabs>
          <w:tab w:val="left" w:pos="5010"/>
        </w:tabs>
        <w:adjustRightInd w:val="0"/>
        <w:snapToGrid w:val="0"/>
        <w:spacing w:line="420" w:lineRule="exact"/>
        <w:jc w:val="left"/>
        <w:rPr>
          <w:b/>
          <w:bCs/>
          <w:color w:val="000000"/>
          <w:szCs w:val="21"/>
        </w:rPr>
      </w:pPr>
      <w:r>
        <w:rPr>
          <w:color w:val="000000"/>
          <w:szCs w:val="21"/>
        </w:rPr>
        <w:tab/>
      </w:r>
      <w:r>
        <w:rPr>
          <w:rFonts w:hint="eastAsia"/>
          <w:b/>
          <w:bCs/>
          <w:color w:val="000000"/>
          <w:szCs w:val="21"/>
        </w:rPr>
        <w:t>授权人：</w:t>
      </w:r>
    </w:p>
    <w:p>
      <w:pPr>
        <w:tabs>
          <w:tab w:val="left" w:pos="4979"/>
        </w:tabs>
        <w:adjustRightInd w:val="0"/>
        <w:snapToGrid w:val="0"/>
        <w:spacing w:line="420" w:lineRule="exact"/>
        <w:jc w:val="left"/>
        <w:rPr>
          <w:b/>
          <w:bCs/>
          <w:color w:val="000000"/>
          <w:szCs w:val="21"/>
        </w:rPr>
      </w:pPr>
      <w:r>
        <w:rPr>
          <w:b/>
          <w:bCs/>
          <w:color w:val="000000"/>
          <w:szCs w:val="21"/>
        </w:rPr>
        <w:tab/>
      </w:r>
      <w:r>
        <w:rPr>
          <w:rFonts w:hint="eastAsia"/>
          <w:b/>
          <w:bCs/>
          <w:color w:val="000000"/>
          <w:szCs w:val="21"/>
        </w:rPr>
        <w:t>（加盖公章）</w:t>
      </w:r>
    </w:p>
    <w:p>
      <w:pPr>
        <w:adjustRightInd w:val="0"/>
        <w:snapToGrid w:val="0"/>
        <w:spacing w:line="420" w:lineRule="exact"/>
        <w:jc w:val="left"/>
        <w:rPr>
          <w:b/>
          <w:bCs/>
          <w:color w:val="000000"/>
          <w:szCs w:val="21"/>
        </w:rPr>
      </w:pPr>
      <w:r>
        <w:rPr>
          <w:b/>
          <w:bCs/>
          <w:color w:val="000000"/>
          <w:szCs w:val="21"/>
        </w:rPr>
        <w:t xml:space="preserve">                                                201</w:t>
      </w:r>
      <w:r>
        <w:rPr>
          <w:rFonts w:hint="eastAsia"/>
          <w:b/>
          <w:bCs/>
          <w:color w:val="000000"/>
          <w:szCs w:val="21"/>
        </w:rPr>
        <w:t>7年  月  日</w:t>
      </w: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jc w:val="cente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附件</w:t>
      </w:r>
      <w:r>
        <w:rPr>
          <w:rFonts w:hint="eastAsia" w:asciiTheme="majorEastAsia" w:hAnsiTheme="majorEastAsia" w:eastAsiaTheme="majorEastAsia" w:cstheme="majorEastAsia"/>
          <w:b/>
          <w:bCs/>
          <w:sz w:val="32"/>
          <w:szCs w:val="32"/>
          <w:lang w:val="en-US" w:eastAsia="zh-CN"/>
        </w:rPr>
        <w:t>2</w:t>
      </w:r>
    </w:p>
    <w:p>
      <w:pPr>
        <w:rPr>
          <w:rFonts w:hint="eastAsia" w:asciiTheme="majorEastAsia" w:hAnsiTheme="majorEastAsia" w:eastAsiaTheme="majorEastAsia" w:cstheme="majorEastAsia"/>
          <w:b/>
          <w:bCs/>
          <w:szCs w:val="21"/>
        </w:rPr>
      </w:pPr>
    </w:p>
    <w:p>
      <w:pPr>
        <w:ind w:firstLine="420" w:firstLineChars="200"/>
        <w:rPr>
          <w:rFonts w:asciiTheme="majorEastAsia" w:hAnsiTheme="majorEastAsia" w:eastAsiaTheme="majorEastAsia" w:cstheme="majorEastAsia"/>
          <w:bCs/>
          <w:szCs w:val="21"/>
          <w:u w:val="single"/>
        </w:rPr>
      </w:pPr>
      <w:r>
        <w:rPr>
          <w:rFonts w:hint="eastAsia" w:asciiTheme="majorEastAsia" w:hAnsiTheme="majorEastAsia" w:eastAsiaTheme="majorEastAsia" w:cstheme="majorEastAsia"/>
          <w:bCs/>
          <w:szCs w:val="21"/>
        </w:rPr>
        <w:t>协议开始日期</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u w:val="single"/>
          <w:lang w:val="en-US" w:eastAsia="zh-CN"/>
        </w:rPr>
        <w:t>{StartDate}</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rPr>
        <w:t xml:space="preserve"> ，协议结束日期</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u w:val="single"/>
          <w:lang w:val="en-US" w:eastAsia="zh-CN"/>
        </w:rPr>
        <w:t>{EndDate}</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rPr>
        <w:t xml:space="preserve"> 。信用等级</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u w:val="single"/>
          <w:lang w:val="en-US" w:eastAsia="zh-CN"/>
        </w:rPr>
        <w:t>{Grade}</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rPr>
        <w:t xml:space="preserve"> 。</w:t>
      </w:r>
    </w:p>
    <w:p>
      <w:pPr>
        <w:adjustRightInd w:val="0"/>
        <w:snapToGrid w:val="0"/>
        <w:spacing w:line="420" w:lineRule="exact"/>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一、结算公式</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人民币开票完税价</w:t>
      </w:r>
      <w:r>
        <w:rPr>
          <w:rFonts w:asciiTheme="minorEastAsia" w:hAnsiTheme="minorEastAsia" w:eastAsiaTheme="minorEastAsia"/>
          <w:szCs w:val="21"/>
        </w:rPr>
        <w:t>=</w:t>
      </w:r>
      <w:r>
        <w:rPr>
          <w:rFonts w:hint="eastAsia" w:asciiTheme="minorEastAsia" w:hAnsiTheme="minorEastAsia" w:eastAsiaTheme="minorEastAsia"/>
          <w:szCs w:val="21"/>
        </w:rPr>
        <w:t>货款+增值税+代理费+关税（如有）+其它杂费。</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货款=美金货值*实时汇率；增值税=美金货值*海关汇率*1.00</w:t>
      </w:r>
      <w:r>
        <w:rPr>
          <w:rFonts w:hint="eastAsia" w:asciiTheme="minorEastAsia" w:hAnsiTheme="minorEastAsia" w:eastAsiaTheme="minorEastAsia"/>
          <w:szCs w:val="21"/>
          <w:lang w:val="en-US" w:eastAsia="zh-CN"/>
        </w:rPr>
        <w:t>2</w:t>
      </w:r>
      <w:r>
        <w:rPr>
          <w:rFonts w:hint="eastAsia" w:asciiTheme="minorEastAsia" w:hAnsiTheme="minorEastAsia" w:eastAsiaTheme="minorEastAsia"/>
          <w:szCs w:val="21"/>
        </w:rPr>
        <w:t>*0.17；</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（其中千分之</w:t>
      </w:r>
      <w:r>
        <w:rPr>
          <w:rFonts w:hint="eastAsia" w:asciiTheme="minorEastAsia" w:hAnsiTheme="minorEastAsia" w:eastAsiaTheme="minorEastAsia"/>
          <w:szCs w:val="21"/>
          <w:lang w:val="en-US" w:eastAsia="zh-CN"/>
        </w:rPr>
        <w:t>二</w:t>
      </w:r>
      <w:r>
        <w:rPr>
          <w:rFonts w:hint="eastAsia" w:asciiTheme="minorEastAsia" w:hAnsiTheme="minorEastAsia" w:eastAsiaTheme="minorEastAsia"/>
          <w:szCs w:val="21"/>
        </w:rPr>
        <w:t>为海关要求申报的运费、保费、杂费）；</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代理费=美金货值*汇率*费率*</w:t>
      </w:r>
      <w:r>
        <w:rPr>
          <w:rFonts w:hint="eastAsia" w:asciiTheme="majorEastAsia" w:hAnsiTheme="majorEastAsia" w:eastAsiaTheme="majorEastAsia" w:cstheme="majorEastAsia"/>
          <w:bCs/>
          <w:color w:val="000000"/>
          <w:szCs w:val="21"/>
          <w:lang w:val="en-US" w:eastAsia="zh-CN"/>
        </w:rPr>
        <w:t>{InvoicePoint}</w:t>
      </w:r>
      <w:r>
        <w:rPr>
          <w:rFonts w:hint="eastAsia" w:asciiTheme="minorEastAsia" w:hAnsiTheme="minorEastAsia" w:eastAsiaTheme="minorEastAsia"/>
          <w:szCs w:val="21"/>
        </w:rPr>
        <w:t>；</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关税=美金货</w:t>
      </w:r>
      <w:r>
        <w:rPr>
          <w:rFonts w:hint="eastAsia" w:asciiTheme="minorEastAsia" w:hAnsiTheme="minorEastAsia" w:eastAsiaTheme="minorEastAsia"/>
          <w:szCs w:val="21"/>
          <w:lang w:eastAsia="zh-CN"/>
        </w:rPr>
        <w:t>值</w:t>
      </w:r>
      <w:r>
        <w:rPr>
          <w:rFonts w:hint="eastAsia" w:asciiTheme="minorEastAsia" w:hAnsiTheme="minorEastAsia" w:eastAsiaTheme="minorEastAsia"/>
          <w:szCs w:val="21"/>
        </w:rPr>
        <w:t>*海关汇率*1.00</w:t>
      </w:r>
      <w:r>
        <w:rPr>
          <w:rFonts w:hint="eastAsia" w:asciiTheme="minorEastAsia" w:hAnsiTheme="minorEastAsia" w:eastAsiaTheme="minorEastAsia"/>
          <w:szCs w:val="21"/>
          <w:lang w:val="en-US" w:eastAsia="zh-CN"/>
        </w:rPr>
        <w:t>2</w:t>
      </w:r>
      <w:r>
        <w:rPr>
          <w:rFonts w:hint="eastAsia" w:asciiTheme="minorEastAsia" w:hAnsiTheme="minorEastAsia" w:eastAsiaTheme="minorEastAsia"/>
          <w:szCs w:val="21"/>
        </w:rPr>
        <w:t>*关税率; 杂费=实报实销*</w:t>
      </w:r>
      <w:r>
        <w:rPr>
          <w:rFonts w:hint="eastAsia" w:asciiTheme="majorEastAsia" w:hAnsiTheme="majorEastAsia" w:eastAsiaTheme="majorEastAsia" w:cstheme="majorEastAsia"/>
          <w:bCs/>
          <w:color w:val="000000"/>
          <w:szCs w:val="21"/>
          <w:lang w:val="en-US" w:eastAsia="zh-CN"/>
        </w:rPr>
        <w:t>{InvoicePoint}</w:t>
      </w:r>
      <w:r>
        <w:rPr>
          <w:rFonts w:hint="eastAsia" w:asciiTheme="minorEastAsia" w:hAnsiTheme="minorEastAsia" w:eastAsiaTheme="minorEastAsia"/>
          <w:szCs w:val="21"/>
        </w:rPr>
        <w:t>。</w:t>
      </w:r>
    </w:p>
    <w:p>
      <w:pPr>
        <w:adjustRightInd w:val="0"/>
        <w:snapToGrid w:val="0"/>
        <w:spacing w:line="420" w:lineRule="exact"/>
        <w:ind w:firstLine="420" w:firstLineChars="200"/>
        <w:jc w:val="left"/>
        <w:rPr>
          <w:rFonts w:hint="eastAsia" w:ascii="宋体" w:hAnsi="宋体"/>
          <w:color w:val="000000" w:themeColor="text1"/>
          <w:szCs w:val="21"/>
          <w14:textFill>
            <w14:solidFill>
              <w14:schemeClr w14:val="tx1"/>
            </w14:solidFill>
          </w14:textFill>
        </w:rPr>
      </w:pPr>
      <w:r>
        <w:rPr>
          <w:rFonts w:hint="eastAsia" w:asciiTheme="minorEastAsia" w:hAnsiTheme="minorEastAsia" w:eastAsiaTheme="minorEastAsia"/>
          <w:color w:val="000000" w:themeColor="text1"/>
          <w:kern w:val="0"/>
          <w:szCs w:val="21"/>
          <w14:textFill>
            <w14:solidFill>
              <w14:schemeClr w14:val="tx1"/>
            </w14:solidFill>
          </w14:textFill>
        </w:rPr>
        <w:t>实时汇率按照进口当天的中国银行上午10点后第一个相应外汇卖出价为准</w:t>
      </w:r>
      <w:r>
        <w:rPr>
          <w:rFonts w:hint="eastAsia" w:ascii="宋体" w:hAnsi="宋体"/>
          <w:color w:val="000000" w:themeColor="text1"/>
          <w:szCs w:val="21"/>
          <w14:textFill>
            <w14:solidFill>
              <w14:schemeClr w14:val="tx1"/>
            </w14:solidFill>
          </w14:textFill>
        </w:rPr>
        <w:t>。</w:t>
      </w:r>
    </w:p>
    <w:p>
      <w:pPr>
        <w:adjustRightInd w:val="0"/>
        <w:snapToGrid w:val="0"/>
        <w:spacing w:line="420" w:lineRule="exact"/>
        <w:ind w:firstLine="420" w:firstLineChars="200"/>
        <w:jc w:val="left"/>
        <w:rPr>
          <w:rFonts w:asciiTheme="minorEastAsia" w:hAnsiTheme="minorEastAsia" w:eastAsiaTheme="minorEastAsia"/>
          <w:szCs w:val="21"/>
        </w:rPr>
      </w:pPr>
      <w:r>
        <w:rPr>
          <w:rFonts w:hint="eastAsia" w:asciiTheme="minorEastAsia" w:hAnsiTheme="minorEastAsia" w:eastAsiaTheme="minorEastAsia"/>
          <w:color w:val="000000" w:themeColor="text1"/>
          <w:kern w:val="0"/>
          <w:szCs w:val="21"/>
          <w14:textFill>
            <w14:solidFill>
              <w14:schemeClr w14:val="tx1"/>
            </w14:solidFill>
          </w14:textFill>
        </w:rPr>
        <w:t>海关汇率按照进口当天海关汇率为准</w:t>
      </w:r>
      <w:r>
        <w:rPr>
          <w:rFonts w:hint="eastAsia" w:ascii="宋体" w:hAnsi="宋体"/>
          <w:color w:val="000000" w:themeColor="text1"/>
          <w:szCs w:val="21"/>
          <w14:textFill>
            <w14:solidFill>
              <w14:schemeClr w14:val="tx1"/>
            </w14:solidFill>
          </w14:textFill>
        </w:rPr>
        <w:t>。</w:t>
      </w:r>
    </w:p>
    <w:p>
      <w:pPr>
        <w:adjustRightInd w:val="0"/>
        <w:snapToGrid w:val="0"/>
        <w:spacing w:line="420" w:lineRule="exact"/>
        <w:jc w:val="left"/>
        <w:rPr>
          <w:rFonts w:asciiTheme="minorEastAsia" w:hAnsiTheme="minorEastAsia" w:eastAsiaTheme="minorEastAsia"/>
          <w:szCs w:val="21"/>
        </w:rPr>
      </w:pPr>
      <w:r>
        <w:rPr>
          <w:rFonts w:hint="eastAsia" w:asciiTheme="minorEastAsia" w:hAnsiTheme="minorEastAsia" w:eastAsiaTheme="minorEastAsia"/>
          <w:szCs w:val="21"/>
        </w:rPr>
        <w:t>二、具体报价及结算约定</w:t>
      </w:r>
    </w:p>
    <w:p>
      <w:pPr>
        <w:numPr>
          <w:ilvl w:val="0"/>
          <w:numId w:val="9"/>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货款：  </w:t>
      </w:r>
      <w:r>
        <w:rPr>
          <w:rFonts w:hint="eastAsia" w:asciiTheme="majorEastAsia" w:hAnsiTheme="majorEastAsia" w:eastAsiaTheme="majorEastAsia" w:cstheme="majorEastAsia"/>
          <w:bCs/>
          <w:color w:val="000000"/>
          <w:szCs w:val="21"/>
          <w:lang w:val="en-US" w:eastAsia="zh-CN"/>
        </w:rPr>
        <w:t>{GoodsPayExchange90}</w:t>
      </w:r>
      <w:r>
        <w:rPr>
          <w:rFonts w:hint="eastAsia" w:asciiTheme="majorEastAsia" w:hAnsiTheme="majorEastAsia" w:eastAsiaTheme="majorEastAsia" w:cstheme="majorEastAsia"/>
          <w:bCs/>
          <w:color w:val="000000"/>
          <w:szCs w:val="21"/>
        </w:rPr>
        <w:t>90天内换汇；</w:t>
      </w:r>
      <w:r>
        <w:rPr>
          <w:rFonts w:hint="eastAsia" w:asciiTheme="majorEastAsia" w:hAnsiTheme="majorEastAsia" w:eastAsiaTheme="majorEastAsia" w:cstheme="majorEastAsia"/>
          <w:bCs/>
          <w:color w:val="000000"/>
          <w:szCs w:val="21"/>
          <w:lang w:val="en-US" w:eastAsia="zh-CN"/>
        </w:rPr>
        <w:t xml:space="preserve"> {GoodsPayExchangePre}预换汇；</w:t>
      </w:r>
    </w:p>
    <w:p>
      <w:pPr>
        <w:numPr>
          <w:ilvl w:val="0"/>
          <w:numId w:val="0"/>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    </w:t>
      </w:r>
      <w:r>
        <w:rPr>
          <w:rFonts w:hint="eastAsia" w:asciiTheme="majorEastAsia" w:hAnsiTheme="majorEastAsia" w:eastAsiaTheme="majorEastAsia" w:cstheme="majorEastAsia"/>
          <w:bCs/>
          <w:color w:val="000000"/>
          <w:szCs w:val="21"/>
          <w:lang w:val="en-US" w:eastAsia="zh-CN"/>
        </w:rPr>
        <w:t xml:space="preserve">         {GoodsIsMonth}</w:t>
      </w:r>
      <w:r>
        <w:rPr>
          <w:rFonts w:hint="eastAsia" w:asciiTheme="majorEastAsia" w:hAnsiTheme="majorEastAsia" w:eastAsiaTheme="majorEastAsia" w:cstheme="majorEastAsia"/>
          <w:bCs/>
          <w:color w:val="000000"/>
          <w:szCs w:val="21"/>
        </w:rPr>
        <w:t>月结，</w:t>
      </w:r>
      <w:r>
        <w:rPr>
          <w:rFonts w:hint="eastAsia" w:asciiTheme="majorEastAsia" w:hAnsiTheme="majorEastAsia" w:eastAsiaTheme="majorEastAsia" w:cstheme="majorEastAsia"/>
          <w:bCs/>
          <w:color w:val="000000"/>
          <w:szCs w:val="21"/>
          <w:lang w:val="en-US" w:eastAsia="zh-CN"/>
        </w:rPr>
        <w:t>间隔</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{GoodsMonth}</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个</w:t>
      </w:r>
      <w:r>
        <w:rPr>
          <w:rFonts w:hint="eastAsia" w:asciiTheme="majorEastAsia" w:hAnsiTheme="majorEastAsia" w:eastAsiaTheme="majorEastAsia" w:cstheme="majorEastAsia"/>
          <w:bCs/>
          <w:color w:val="000000"/>
          <w:szCs w:val="21"/>
        </w:rPr>
        <w:t>月</w:t>
      </w:r>
      <w:r>
        <w:rPr>
          <w:rFonts w:hint="eastAsia" w:asciiTheme="majorEastAsia" w:hAnsiTheme="majorEastAsia" w:eastAsiaTheme="majorEastAsia" w:cstheme="majorEastAsia"/>
          <w:bCs/>
          <w:color w:val="000000"/>
          <w:szCs w:val="21"/>
          <w:lang w:val="en-US" w:eastAsia="zh-CN"/>
        </w:rPr>
        <w:t>的</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{GoodsMonthDay}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{GoodsCredits1}</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{GoodsIsCustom}</w:t>
      </w:r>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{GoodsCustomDay}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{GoodsCredits2}</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525" w:firstLineChars="250"/>
        <w:jc w:val="left"/>
        <w:rPr>
          <w:rFonts w:hint="eastAsia" w:asciiTheme="majorEastAsia" w:hAnsiTheme="majorEastAsia" w:eastAsiaTheme="majorEastAsia" w:cstheme="majorEastAsia"/>
          <w:bCs/>
          <w:color w:val="000000"/>
          <w:szCs w:val="21"/>
          <w:lang w:eastAsia="zh-CN"/>
        </w:rPr>
      </w:pPr>
      <w:r>
        <w:rPr>
          <w:rFonts w:hint="eastAsia" w:asciiTheme="majorEastAsia" w:hAnsiTheme="majorEastAsia" w:eastAsiaTheme="majorEastAsia" w:cstheme="majorEastAsia"/>
          <w:bCs/>
          <w:color w:val="000000"/>
          <w:szCs w:val="21"/>
        </w:rPr>
        <w:t xml:space="preserve">汇率：  </w:t>
      </w:r>
      <w:r>
        <w:rPr>
          <w:rFonts w:hint="eastAsia" w:asciiTheme="majorEastAsia" w:hAnsiTheme="majorEastAsia" w:eastAsiaTheme="majorEastAsia" w:cstheme="majorEastAsia"/>
          <w:bCs/>
          <w:color w:val="000000"/>
          <w:szCs w:val="21"/>
          <w:lang w:val="en-US" w:eastAsia="zh-CN"/>
        </w:rPr>
        <w:t>{GoodsIsCustoms}</w:t>
      </w:r>
      <w:r>
        <w:rPr>
          <w:rFonts w:hint="eastAsia" w:asciiTheme="majorEastAsia" w:hAnsiTheme="majorEastAsia" w:eastAsiaTheme="majorEastAsia" w:cstheme="majorEastAsia"/>
          <w:bCs/>
          <w:color w:val="000000"/>
          <w:szCs w:val="21"/>
        </w:rPr>
        <w:t>海关汇率；</w:t>
      </w:r>
      <w:r>
        <w:rPr>
          <w:rFonts w:hint="eastAsia" w:asciiTheme="majorEastAsia" w:hAnsiTheme="majorEastAsia" w:eastAsiaTheme="majorEastAsia" w:cstheme="majorEastAsia"/>
          <w:bCs/>
          <w:color w:val="000000"/>
          <w:szCs w:val="21"/>
          <w:lang w:val="en-US" w:eastAsia="zh-CN"/>
        </w:rPr>
        <w:t>{GoodsIsFloating}</w:t>
      </w:r>
      <w:r>
        <w:rPr>
          <w:rFonts w:hint="eastAsia" w:asciiTheme="majorEastAsia" w:hAnsiTheme="majorEastAsia" w:eastAsiaTheme="majorEastAsia" w:cstheme="majorEastAsia"/>
          <w:bCs/>
          <w:color w:val="000000"/>
          <w:szCs w:val="21"/>
        </w:rPr>
        <w:t>实时汇率；</w:t>
      </w:r>
      <w:r>
        <w:rPr>
          <w:rFonts w:hint="eastAsia" w:asciiTheme="majorEastAsia" w:hAnsiTheme="majorEastAsia" w:eastAsiaTheme="majorEastAsia" w:cstheme="majorEastAsia"/>
          <w:bCs/>
          <w:color w:val="000000"/>
          <w:szCs w:val="21"/>
          <w:lang w:val="en-US" w:eastAsia="zh-CN"/>
        </w:rPr>
        <w:t>{GoodsIsFixed}</w:t>
      </w:r>
      <w:r>
        <w:rPr>
          <w:rFonts w:hint="eastAsia" w:asciiTheme="majorEastAsia" w:hAnsiTheme="majorEastAsia" w:eastAsiaTheme="majorEastAsia" w:cstheme="majorEastAsia"/>
          <w:bCs/>
          <w:color w:val="000000"/>
          <w:szCs w:val="21"/>
        </w:rPr>
        <w:t>固定汇率；</w:t>
      </w:r>
      <w:r>
        <w:rPr>
          <w:rFonts w:hint="eastAsia" w:asciiTheme="majorEastAsia" w:hAnsiTheme="majorEastAsia" w:eastAsiaTheme="majorEastAsia" w:cstheme="majorEastAsia"/>
          <w:bCs/>
          <w:color w:val="000000"/>
          <w:szCs w:val="21"/>
          <w:lang w:val="en-US" w:eastAsia="zh-CN"/>
        </w:rPr>
        <w:t>{GoodsIsPreset}</w:t>
      </w:r>
      <w:r>
        <w:rPr>
          <w:rFonts w:hint="eastAsia" w:asciiTheme="majorEastAsia" w:hAnsiTheme="majorEastAsia" w:eastAsiaTheme="majorEastAsia" w:cstheme="majorEastAsia"/>
          <w:bCs/>
          <w:color w:val="000000"/>
          <w:szCs w:val="21"/>
        </w:rPr>
        <w:t>预设汇率</w:t>
      </w:r>
      <w:r>
        <w:rPr>
          <w:rFonts w:hint="eastAsia" w:asciiTheme="majorEastAsia" w:hAnsiTheme="majorEastAsia" w:eastAsiaTheme="majorEastAsia" w:cstheme="majorEastAsia"/>
          <w:bCs/>
          <w:color w:val="000000"/>
          <w:szCs w:val="21"/>
          <w:lang w:eastAsia="zh-CN"/>
        </w:rPr>
        <w:t>。</w:t>
      </w:r>
    </w:p>
    <w:p>
      <w:pPr>
        <w:numPr>
          <w:ilvl w:val="0"/>
          <w:numId w:val="9"/>
        </w:numPr>
        <w:adjustRightInd w:val="0"/>
        <w:snapToGrid w:val="0"/>
        <w:spacing w:line="420" w:lineRule="exact"/>
        <w:ind w:left="0" w:leftChars="0" w:firstLine="0" w:firstLineChars="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税款：  </w:t>
      </w:r>
      <w:r>
        <w:rPr>
          <w:rFonts w:hint="eastAsia" w:asciiTheme="majorEastAsia" w:hAnsiTheme="majorEastAsia" w:eastAsiaTheme="majorEastAsia" w:cstheme="majorEastAsia"/>
          <w:bCs/>
          <w:color w:val="000000"/>
          <w:szCs w:val="21"/>
          <w:lang w:val="en-US" w:eastAsia="zh-CN"/>
        </w:rPr>
        <w:t>{TaxesIsMonth}</w:t>
      </w:r>
      <w:r>
        <w:rPr>
          <w:rFonts w:hint="eastAsia" w:asciiTheme="majorEastAsia" w:hAnsiTheme="majorEastAsia" w:eastAsiaTheme="majorEastAsia" w:cstheme="majorEastAsia"/>
          <w:bCs/>
          <w:color w:val="000000"/>
          <w:szCs w:val="21"/>
        </w:rPr>
        <w:t>月结：</w:t>
      </w:r>
      <w:r>
        <w:rPr>
          <w:rFonts w:hint="eastAsia" w:asciiTheme="majorEastAsia" w:hAnsiTheme="majorEastAsia" w:eastAsiaTheme="majorEastAsia" w:cstheme="majorEastAsia"/>
          <w:bCs/>
          <w:color w:val="000000"/>
          <w:szCs w:val="21"/>
          <w:lang w:val="en-US" w:eastAsia="zh-CN"/>
        </w:rPr>
        <w:t>间隔</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{TaxesMonth}</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个</w:t>
      </w:r>
      <w:r>
        <w:rPr>
          <w:rFonts w:hint="eastAsia" w:asciiTheme="majorEastAsia" w:hAnsiTheme="majorEastAsia" w:eastAsiaTheme="majorEastAsia" w:cstheme="majorEastAsia"/>
          <w:bCs/>
          <w:color w:val="000000"/>
          <w:szCs w:val="21"/>
        </w:rPr>
        <w:t>月</w:t>
      </w:r>
      <w:r>
        <w:rPr>
          <w:rFonts w:hint="eastAsia" w:asciiTheme="majorEastAsia" w:hAnsiTheme="majorEastAsia" w:eastAsiaTheme="majorEastAsia" w:cstheme="majorEastAsia"/>
          <w:bCs/>
          <w:color w:val="000000"/>
          <w:szCs w:val="21"/>
          <w:lang w:val="en-US" w:eastAsia="zh-CN"/>
        </w:rPr>
        <w:t>的</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{TaxesMonthDay}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lang w:val="en-US" w:eastAsia="zh-CN"/>
        </w:rPr>
        <w:t xml:space="preserve"> </w:t>
      </w:r>
      <w:r>
        <w:rPr>
          <w:rFonts w:hint="eastAsia" w:asciiTheme="majorEastAsia" w:hAnsiTheme="majorEastAsia" w:eastAsiaTheme="majorEastAsia" w:cstheme="majorEastAsia"/>
          <w:bCs/>
          <w:color w:val="000000"/>
          <w:szCs w:val="21"/>
          <w:u w:val="single"/>
          <w:lang w:val="en-US" w:eastAsia="zh-CN"/>
        </w:rPr>
        <w:t xml:space="preserve">{TaxesCredits1}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{TaxesIsCustom}</w:t>
      </w:r>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lang w:val="en-US" w:eastAsia="zh-CN"/>
        </w:rPr>
        <w:t xml:space="preserve"> {TaxesCustomDay}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{TaxesCredits2}</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numPr>
          <w:ilvl w:val="0"/>
          <w:numId w:val="0"/>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r>
        <w:rPr>
          <w:rFonts w:hint="eastAsia" w:asciiTheme="majorEastAsia" w:hAnsiTheme="majorEastAsia" w:eastAsiaTheme="majorEastAsia" w:cstheme="majorEastAsia"/>
          <w:bCs/>
          <w:color w:val="000000"/>
          <w:szCs w:val="21"/>
          <w:lang w:val="en-US" w:eastAsia="zh-CN"/>
        </w:rPr>
        <w:t>{TaxesIsCustoms}</w:t>
      </w:r>
      <w:r>
        <w:rPr>
          <w:rFonts w:hint="eastAsia" w:asciiTheme="majorEastAsia" w:hAnsiTheme="majorEastAsia" w:eastAsiaTheme="majorEastAsia" w:cstheme="majorEastAsia"/>
          <w:bCs/>
          <w:color w:val="000000"/>
          <w:szCs w:val="21"/>
        </w:rPr>
        <w:t>海关汇率；</w:t>
      </w:r>
      <w:r>
        <w:rPr>
          <w:rFonts w:hint="eastAsia" w:asciiTheme="majorEastAsia" w:hAnsiTheme="majorEastAsia" w:eastAsiaTheme="majorEastAsia" w:cstheme="majorEastAsia"/>
          <w:bCs/>
          <w:color w:val="000000"/>
          <w:szCs w:val="21"/>
          <w:lang w:val="en-US" w:eastAsia="zh-CN"/>
        </w:rPr>
        <w:t>{TaxesIsFloating}</w:t>
      </w:r>
      <w:r>
        <w:rPr>
          <w:rFonts w:hint="eastAsia" w:asciiTheme="majorEastAsia" w:hAnsiTheme="majorEastAsia" w:eastAsiaTheme="majorEastAsia" w:cstheme="majorEastAsia"/>
          <w:bCs/>
          <w:color w:val="000000"/>
          <w:szCs w:val="21"/>
        </w:rPr>
        <w:t>实时汇率；</w:t>
      </w:r>
      <w:r>
        <w:rPr>
          <w:rFonts w:hint="eastAsia" w:asciiTheme="majorEastAsia" w:hAnsiTheme="majorEastAsia" w:eastAsiaTheme="majorEastAsia" w:cstheme="majorEastAsia"/>
          <w:bCs/>
          <w:color w:val="000000"/>
          <w:szCs w:val="21"/>
          <w:lang w:val="en-US" w:eastAsia="zh-CN"/>
        </w:rPr>
        <w:t>{TaxesIsFixed}</w:t>
      </w:r>
      <w:r>
        <w:rPr>
          <w:rFonts w:hint="eastAsia" w:asciiTheme="majorEastAsia" w:hAnsiTheme="majorEastAsia" w:eastAsiaTheme="majorEastAsia" w:cstheme="majorEastAsia"/>
          <w:bCs/>
          <w:color w:val="000000"/>
          <w:szCs w:val="21"/>
        </w:rPr>
        <w:t>固定汇率；</w:t>
      </w:r>
      <w:r>
        <w:rPr>
          <w:rFonts w:hint="eastAsia" w:asciiTheme="majorEastAsia" w:hAnsiTheme="majorEastAsia" w:eastAsiaTheme="majorEastAsia" w:cstheme="majorEastAsia"/>
          <w:bCs/>
          <w:color w:val="000000"/>
          <w:szCs w:val="21"/>
          <w:lang w:val="en-US" w:eastAsia="zh-CN"/>
        </w:rPr>
        <w:t>{TaxesIsPreset}</w:t>
      </w:r>
      <w:r>
        <w:rPr>
          <w:rFonts w:hint="eastAsia" w:asciiTheme="majorEastAsia" w:hAnsiTheme="majorEastAsia" w:eastAsiaTheme="majorEastAsia" w:cstheme="majorEastAsia"/>
          <w:bCs/>
          <w:color w:val="000000"/>
          <w:szCs w:val="21"/>
        </w:rPr>
        <w:t>预设汇率</w:t>
      </w:r>
      <w:r>
        <w:rPr>
          <w:rFonts w:hint="eastAsia" w:asciiTheme="majorEastAsia" w:hAnsiTheme="majorEastAsia" w:eastAsiaTheme="majorEastAsia" w:cstheme="majorEastAsia"/>
          <w:bCs/>
          <w:color w:val="000000"/>
          <w:szCs w:val="21"/>
          <w:lang w:eastAsia="zh-CN"/>
        </w:rPr>
        <w:t>。</w:t>
      </w:r>
    </w:p>
    <w:p>
      <w:pPr>
        <w:numPr>
          <w:ilvl w:val="0"/>
          <w:numId w:val="9"/>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代理费： 费率</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{ServiceChargePoint}</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，最低收费</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{MinimumAgent}</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元/单。</w:t>
      </w:r>
    </w:p>
    <w:p>
      <w:pPr>
        <w:adjustRightInd w:val="0"/>
        <w:snapToGrid w:val="0"/>
        <w:spacing w:line="420" w:lineRule="exact"/>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{AgentIsMonth</w:t>
      </w:r>
      <w:bookmarkStart w:id="0" w:name="_GoBack"/>
      <w:bookmarkEnd w:id="0"/>
      <w:r>
        <w:rPr>
          <w:rFonts w:hint="eastAsia" w:asciiTheme="majorEastAsia" w:hAnsiTheme="majorEastAsia" w:eastAsiaTheme="majorEastAsia" w:cstheme="majorEastAsia"/>
          <w:bCs/>
          <w:color w:val="000000"/>
          <w:szCs w:val="21"/>
          <w:lang w:val="en-US" w:eastAsia="zh-CN"/>
        </w:rPr>
        <w:t>}</w:t>
      </w:r>
      <w:r>
        <w:rPr>
          <w:rFonts w:hint="eastAsia" w:asciiTheme="majorEastAsia" w:hAnsiTheme="majorEastAsia" w:eastAsiaTheme="majorEastAsia" w:cstheme="majorEastAsia"/>
          <w:bCs/>
          <w:color w:val="000000"/>
          <w:szCs w:val="21"/>
        </w:rPr>
        <w:t>月结：</w:t>
      </w:r>
      <w:r>
        <w:rPr>
          <w:rFonts w:hint="eastAsia" w:asciiTheme="majorEastAsia" w:hAnsiTheme="majorEastAsia" w:eastAsiaTheme="majorEastAsia" w:cstheme="majorEastAsia"/>
          <w:bCs/>
          <w:color w:val="000000"/>
          <w:szCs w:val="21"/>
          <w:lang w:val="en-US" w:eastAsia="zh-CN"/>
        </w:rPr>
        <w:t>间隔</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{AgentMonthDay}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个</w:t>
      </w:r>
      <w:r>
        <w:rPr>
          <w:rFonts w:hint="eastAsia" w:asciiTheme="majorEastAsia" w:hAnsiTheme="majorEastAsia" w:eastAsiaTheme="majorEastAsia" w:cstheme="majorEastAsia"/>
          <w:bCs/>
          <w:color w:val="000000"/>
          <w:szCs w:val="21"/>
        </w:rPr>
        <w:t>月</w:t>
      </w:r>
      <w:r>
        <w:rPr>
          <w:rFonts w:hint="eastAsia" w:asciiTheme="majorEastAsia" w:hAnsiTheme="majorEastAsia" w:eastAsiaTheme="majorEastAsia" w:cstheme="majorEastAsia"/>
          <w:bCs/>
          <w:color w:val="000000"/>
          <w:szCs w:val="21"/>
          <w:lang w:val="en-US" w:eastAsia="zh-CN"/>
        </w:rPr>
        <w:t>的</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{AgentMonthDay}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{AgentCredits1}</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{AgentIsCustom}</w:t>
      </w:r>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{AgentCustomDay}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{AgentCredits2}</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spacing w:line="420" w:lineRule="exact"/>
        <w:ind w:firstLine="525" w:firstLineChars="2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r>
        <w:rPr>
          <w:rFonts w:hint="eastAsia" w:asciiTheme="majorEastAsia" w:hAnsiTheme="majorEastAsia" w:eastAsiaTheme="majorEastAsia" w:cstheme="majorEastAsia"/>
          <w:bCs/>
          <w:color w:val="000000"/>
          <w:szCs w:val="21"/>
          <w:lang w:val="en-US" w:eastAsia="zh-CN"/>
        </w:rPr>
        <w:t>{AgentIsCustoms}</w:t>
      </w:r>
      <w:r>
        <w:rPr>
          <w:rFonts w:hint="eastAsia" w:asciiTheme="majorEastAsia" w:hAnsiTheme="majorEastAsia" w:eastAsiaTheme="majorEastAsia" w:cstheme="majorEastAsia"/>
          <w:bCs/>
          <w:color w:val="000000"/>
          <w:szCs w:val="21"/>
        </w:rPr>
        <w:t>海关汇率；</w:t>
      </w:r>
      <w:r>
        <w:rPr>
          <w:rFonts w:hint="eastAsia" w:asciiTheme="majorEastAsia" w:hAnsiTheme="majorEastAsia" w:eastAsiaTheme="majorEastAsia" w:cstheme="majorEastAsia"/>
          <w:bCs/>
          <w:color w:val="000000"/>
          <w:szCs w:val="21"/>
          <w:lang w:val="en-US" w:eastAsia="zh-CN"/>
        </w:rPr>
        <w:t>{AgentIsFloating}</w:t>
      </w:r>
      <w:r>
        <w:rPr>
          <w:rFonts w:hint="eastAsia" w:asciiTheme="majorEastAsia" w:hAnsiTheme="majorEastAsia" w:eastAsiaTheme="majorEastAsia" w:cstheme="majorEastAsia"/>
          <w:bCs/>
          <w:color w:val="000000"/>
          <w:szCs w:val="21"/>
        </w:rPr>
        <w:t>实时汇率；</w:t>
      </w:r>
      <w:r>
        <w:rPr>
          <w:rFonts w:hint="eastAsia" w:asciiTheme="majorEastAsia" w:hAnsiTheme="majorEastAsia" w:eastAsiaTheme="majorEastAsia" w:cstheme="majorEastAsia"/>
          <w:bCs/>
          <w:color w:val="000000"/>
          <w:szCs w:val="21"/>
          <w:lang w:val="en-US" w:eastAsia="zh-CN"/>
        </w:rPr>
        <w:t>{AgentIsFixed}</w:t>
      </w:r>
      <w:r>
        <w:rPr>
          <w:rFonts w:hint="eastAsia" w:asciiTheme="majorEastAsia" w:hAnsiTheme="majorEastAsia" w:eastAsiaTheme="majorEastAsia" w:cstheme="majorEastAsia"/>
          <w:bCs/>
          <w:color w:val="000000"/>
          <w:szCs w:val="21"/>
        </w:rPr>
        <w:t>固定汇率；</w:t>
      </w:r>
      <w:r>
        <w:rPr>
          <w:rFonts w:hint="eastAsia" w:asciiTheme="majorEastAsia" w:hAnsiTheme="majorEastAsia" w:eastAsiaTheme="majorEastAsia" w:cstheme="majorEastAsia"/>
          <w:bCs/>
          <w:color w:val="000000"/>
          <w:szCs w:val="21"/>
          <w:lang w:val="en-US" w:eastAsia="zh-CN"/>
        </w:rPr>
        <w:t>{AgentIsPreset}</w:t>
      </w:r>
      <w:r>
        <w:rPr>
          <w:rFonts w:hint="eastAsia" w:asciiTheme="majorEastAsia" w:hAnsiTheme="majorEastAsia" w:eastAsiaTheme="majorEastAsia" w:cstheme="majorEastAsia"/>
          <w:bCs/>
          <w:color w:val="000000"/>
          <w:szCs w:val="21"/>
        </w:rPr>
        <w:t>预设汇率</w:t>
      </w:r>
      <w:r>
        <w:rPr>
          <w:rFonts w:hint="eastAsia" w:asciiTheme="majorEastAsia" w:hAnsiTheme="majorEastAsia" w:eastAsiaTheme="majorEastAsia" w:cstheme="majorEastAsia"/>
          <w:bCs/>
          <w:color w:val="000000"/>
          <w:szCs w:val="21"/>
          <w:lang w:eastAsia="zh-CN"/>
        </w:rPr>
        <w:t>。</w:t>
      </w:r>
    </w:p>
    <w:p>
      <w:p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（4）杂费：  </w:t>
      </w:r>
      <w:r>
        <w:rPr>
          <w:rFonts w:hint="eastAsia" w:asciiTheme="majorEastAsia" w:hAnsiTheme="majorEastAsia" w:eastAsiaTheme="majorEastAsia" w:cstheme="majorEastAsia"/>
          <w:bCs/>
          <w:color w:val="000000"/>
          <w:szCs w:val="21"/>
          <w:lang w:val="en-US" w:eastAsia="zh-CN"/>
        </w:rPr>
        <w:t>{ExtrasIsMonth}</w:t>
      </w:r>
      <w:r>
        <w:rPr>
          <w:rFonts w:hint="eastAsia" w:asciiTheme="majorEastAsia" w:hAnsiTheme="majorEastAsia" w:eastAsiaTheme="majorEastAsia" w:cstheme="majorEastAsia"/>
          <w:bCs/>
          <w:color w:val="000000"/>
          <w:szCs w:val="21"/>
        </w:rPr>
        <w:t>月结：</w:t>
      </w:r>
      <w:r>
        <w:rPr>
          <w:rFonts w:hint="eastAsia" w:asciiTheme="majorEastAsia" w:hAnsiTheme="majorEastAsia" w:eastAsiaTheme="majorEastAsia" w:cstheme="majorEastAsia"/>
          <w:bCs/>
          <w:color w:val="000000"/>
          <w:szCs w:val="21"/>
          <w:lang w:val="en-US" w:eastAsia="zh-CN"/>
        </w:rPr>
        <w:t>间隔</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{ExtrasMonth}</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个</w:t>
      </w:r>
      <w:r>
        <w:rPr>
          <w:rFonts w:hint="eastAsia" w:asciiTheme="majorEastAsia" w:hAnsiTheme="majorEastAsia" w:eastAsiaTheme="majorEastAsia" w:cstheme="majorEastAsia"/>
          <w:bCs/>
          <w:color w:val="000000"/>
          <w:szCs w:val="21"/>
        </w:rPr>
        <w:t>月</w:t>
      </w:r>
      <w:r>
        <w:rPr>
          <w:rFonts w:hint="eastAsia" w:asciiTheme="majorEastAsia" w:hAnsiTheme="majorEastAsia" w:eastAsiaTheme="majorEastAsia" w:cstheme="majorEastAsia"/>
          <w:bCs/>
          <w:color w:val="000000"/>
          <w:szCs w:val="21"/>
          <w:lang w:val="en-US" w:eastAsia="zh-CN"/>
        </w:rPr>
        <w:t>的</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{ExtrasMonthDay}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{ExtrasCredits1}</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{ExtrasIsCustom}</w:t>
      </w:r>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{ExtrasCustomDay}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{ExtrasCredits2}</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spacing w:line="420" w:lineRule="exact"/>
        <w:ind w:firstLine="525" w:firstLineChars="250"/>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r>
        <w:rPr>
          <w:rFonts w:hint="eastAsia" w:asciiTheme="majorEastAsia" w:hAnsiTheme="majorEastAsia" w:eastAsiaTheme="majorEastAsia" w:cstheme="majorEastAsia"/>
          <w:bCs/>
          <w:color w:val="000000"/>
          <w:szCs w:val="21"/>
          <w:lang w:val="en-US" w:eastAsia="zh-CN"/>
        </w:rPr>
        <w:t>{ExtrasIsCustoms}</w:t>
      </w:r>
      <w:r>
        <w:rPr>
          <w:rFonts w:hint="eastAsia" w:asciiTheme="majorEastAsia" w:hAnsiTheme="majorEastAsia" w:eastAsiaTheme="majorEastAsia" w:cstheme="majorEastAsia"/>
          <w:bCs/>
          <w:color w:val="000000"/>
          <w:szCs w:val="21"/>
        </w:rPr>
        <w:t>海关汇率；</w:t>
      </w:r>
      <w:r>
        <w:rPr>
          <w:rFonts w:hint="eastAsia" w:asciiTheme="majorEastAsia" w:hAnsiTheme="majorEastAsia" w:eastAsiaTheme="majorEastAsia" w:cstheme="majorEastAsia"/>
          <w:bCs/>
          <w:color w:val="000000"/>
          <w:szCs w:val="21"/>
          <w:lang w:val="en-US" w:eastAsia="zh-CN"/>
        </w:rPr>
        <w:t>{ExtrasIsFloating}</w:t>
      </w:r>
      <w:r>
        <w:rPr>
          <w:rFonts w:hint="eastAsia" w:asciiTheme="majorEastAsia" w:hAnsiTheme="majorEastAsia" w:eastAsiaTheme="majorEastAsia" w:cstheme="majorEastAsia"/>
          <w:bCs/>
          <w:color w:val="000000"/>
          <w:szCs w:val="21"/>
        </w:rPr>
        <w:t>实时汇率；</w:t>
      </w:r>
      <w:r>
        <w:rPr>
          <w:rFonts w:hint="eastAsia" w:asciiTheme="majorEastAsia" w:hAnsiTheme="majorEastAsia" w:eastAsiaTheme="majorEastAsia" w:cstheme="majorEastAsia"/>
          <w:bCs/>
          <w:color w:val="000000"/>
          <w:szCs w:val="21"/>
          <w:lang w:val="en-US" w:eastAsia="zh-CN"/>
        </w:rPr>
        <w:t>{ExtrasIsFixed}</w:t>
      </w:r>
      <w:r>
        <w:rPr>
          <w:rFonts w:hint="eastAsia" w:asciiTheme="majorEastAsia" w:hAnsiTheme="majorEastAsia" w:eastAsiaTheme="majorEastAsia" w:cstheme="majorEastAsia"/>
          <w:bCs/>
          <w:color w:val="000000"/>
          <w:szCs w:val="21"/>
        </w:rPr>
        <w:t>固定汇率；</w:t>
      </w:r>
      <w:r>
        <w:rPr>
          <w:rFonts w:hint="eastAsia" w:asciiTheme="majorEastAsia" w:hAnsiTheme="majorEastAsia" w:eastAsiaTheme="majorEastAsia" w:cstheme="majorEastAsia"/>
          <w:bCs/>
          <w:color w:val="000000"/>
          <w:szCs w:val="21"/>
          <w:lang w:val="en-US" w:eastAsia="zh-CN"/>
        </w:rPr>
        <w:t>{ExtrasIsPreset}</w:t>
      </w:r>
      <w:r>
        <w:rPr>
          <w:rFonts w:hint="eastAsia" w:asciiTheme="majorEastAsia" w:hAnsiTheme="majorEastAsia" w:eastAsiaTheme="majorEastAsia" w:cstheme="majorEastAsia"/>
          <w:bCs/>
          <w:color w:val="000000"/>
          <w:szCs w:val="21"/>
        </w:rPr>
        <w:t>预设汇率</w:t>
      </w:r>
      <w:r>
        <w:rPr>
          <w:rFonts w:hint="eastAsia" w:asciiTheme="majorEastAsia" w:hAnsiTheme="majorEastAsia" w:eastAsiaTheme="majorEastAsia" w:cstheme="majorEastAsia"/>
          <w:bCs/>
          <w:color w:val="000000"/>
          <w:szCs w:val="21"/>
          <w:lang w:eastAsia="zh-CN"/>
        </w:rPr>
        <w:t>。</w:t>
      </w:r>
    </w:p>
    <w:p>
      <w:pPr>
        <w:adjustRightInd w:val="0"/>
        <w:snapToGrid w:val="0"/>
        <w:spacing w:line="420" w:lineRule="exact"/>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三、开具发票</w:t>
      </w:r>
    </w:p>
    <w:p>
      <w:pPr>
        <w:adjustRightInd w:val="0"/>
        <w:snapToGrid w:val="0"/>
        <w:spacing w:line="420" w:lineRule="exact"/>
        <w:ind w:firstLine="105" w:firstLineChars="50"/>
        <w:jc w:val="left"/>
        <w:rPr>
          <w:rFonts w:asciiTheme="majorEastAsia" w:hAnsiTheme="majorEastAsia" w:eastAsiaTheme="majorEastAsia" w:cstheme="majorEastAsia"/>
          <w:bCs/>
          <w:color w:val="000000"/>
          <w:szCs w:val="21"/>
        </w:rPr>
      </w:pPr>
      <w:r>
        <w:rPr>
          <w:rFonts w:hint="eastAsia"/>
          <w:szCs w:val="21"/>
        </w:rPr>
        <w:t>（1）开票类型：</w:t>
      </w:r>
      <w:r>
        <w:rPr>
          <w:rFonts w:hint="eastAsia"/>
          <w:szCs w:val="21"/>
          <w:lang w:val="en-US" w:eastAsia="zh-CN"/>
        </w:rPr>
        <w:t>{InvoiceType}</w:t>
      </w:r>
      <w:r>
        <w:rPr>
          <w:rFonts w:hint="eastAsia" w:ascii="宋体" w:hAnsi="宋体"/>
          <w:kern w:val="0"/>
          <w:szCs w:val="21"/>
        </w:rPr>
        <w:t>签署内贸合同，</w:t>
      </w:r>
      <w:r>
        <w:rPr>
          <w:rFonts w:hint="eastAsia"/>
          <w:szCs w:val="21"/>
        </w:rPr>
        <w:t>开票增值税专用发票；</w:t>
      </w:r>
      <w:r>
        <w:rPr>
          <w:rFonts w:hint="eastAsia" w:asciiTheme="majorEastAsia" w:hAnsiTheme="majorEastAsia" w:eastAsiaTheme="majorEastAsia" w:cstheme="majorEastAsia"/>
          <w:bCs/>
          <w:color w:val="000000"/>
          <w:szCs w:val="21"/>
          <w:lang w:val="en-US" w:eastAsia="zh-CN"/>
        </w:rPr>
        <w:t>{InvoiceTypeService}</w:t>
      </w:r>
      <w:r>
        <w:rPr>
          <w:rFonts w:hint="eastAsia"/>
          <w:szCs w:val="21"/>
        </w:rPr>
        <w:t>海关发票+服务票发票。</w:t>
      </w: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center"/>
        <w:rPr>
          <w:rFonts w:ascii="Times New Roman" w:hAnsi="Times New Roman" w:cs="Times New Roman"/>
          <w:b/>
          <w:bCs/>
          <w:color w:val="000000"/>
          <w:sz w:val="32"/>
          <w:szCs w:val="32"/>
        </w:rPr>
      </w:pPr>
      <w:r>
        <w:rPr>
          <w:rFonts w:hint="eastAsia" w:ascii="Times New Roman" w:hAnsi="Times New Roman" w:cs="宋体"/>
          <w:b/>
          <w:bCs/>
          <w:color w:val="000000"/>
          <w:sz w:val="32"/>
          <w:szCs w:val="32"/>
        </w:rPr>
        <w:t>附件</w:t>
      </w:r>
      <w:r>
        <w:rPr>
          <w:rFonts w:ascii="Times New Roman" w:hAnsi="Times New Roman" w:cs="Times New Roman"/>
          <w:b/>
          <w:bCs/>
          <w:color w:val="000000"/>
          <w:sz w:val="32"/>
          <w:szCs w:val="32"/>
        </w:rPr>
        <w:t>2</w:t>
      </w:r>
    </w:p>
    <w:p>
      <w:pPr>
        <w:spacing w:line="340" w:lineRule="exact"/>
        <w:jc w:val="center"/>
        <w:rPr>
          <w:rFonts w:ascii="宋体" w:cs="Times New Roman"/>
          <w:b/>
          <w:bCs/>
          <w:color w:val="000000"/>
          <w:sz w:val="32"/>
          <w:szCs w:val="32"/>
        </w:rPr>
      </w:pPr>
      <w:r>
        <w:rPr>
          <w:rFonts w:hint="eastAsia" w:ascii="宋体" w:hAnsi="宋体" w:cs="宋体"/>
          <w:b/>
          <w:bCs/>
          <w:color w:val="000000"/>
          <w:sz w:val="32"/>
          <w:szCs w:val="32"/>
        </w:rPr>
        <w:t>超重货物额外收费明细表</w:t>
      </w:r>
    </w:p>
    <w:p>
      <w:pPr>
        <w:spacing w:line="340" w:lineRule="exact"/>
        <w:jc w:val="right"/>
        <w:rPr>
          <w:rFonts w:ascii="宋体" w:cs="Times New Roman"/>
          <w:b/>
          <w:bCs/>
          <w:color w:val="000000"/>
        </w:rPr>
      </w:pPr>
      <w:r>
        <w:rPr>
          <w:rFonts w:hint="eastAsia" w:ascii="宋体" w:hAnsi="宋体" w:cs="宋体"/>
          <w:b/>
          <w:bCs/>
          <w:color w:val="000000"/>
        </w:rPr>
        <w:t>币种：</w:t>
      </w:r>
      <w:r>
        <w:rPr>
          <w:rFonts w:ascii="宋体" w:hAnsi="宋体" w:cs="宋体"/>
          <w:b/>
          <w:bCs/>
          <w:color w:val="000000"/>
        </w:rPr>
        <w:t>RMB</w:t>
      </w:r>
    </w:p>
    <w:tbl>
      <w:tblPr>
        <w:tblStyle w:val="6"/>
        <w:tblW w:w="852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hint="eastAsia" w:ascii="宋体" w:hAnsi="宋体" w:cs="宋体"/>
                <w:b/>
                <w:bCs/>
                <w:color w:val="000000"/>
              </w:rPr>
              <w:t>重量（</w:t>
            </w:r>
            <w:r>
              <w:rPr>
                <w:rFonts w:ascii="宋体" w:hAnsi="宋体" w:cs="宋体"/>
                <w:b/>
                <w:bCs/>
                <w:color w:val="000000"/>
              </w:rPr>
              <w:t>KGS</w:t>
            </w:r>
            <w:r>
              <w:rPr>
                <w:rFonts w:hint="eastAsia" w:ascii="宋体" w:hAnsi="宋体" w:cs="宋体"/>
                <w:b/>
                <w:bCs/>
                <w:color w:val="000000"/>
              </w:rPr>
              <w:t>）</w:t>
            </w:r>
            <w:r>
              <w:rPr>
                <w:rFonts w:ascii="宋体" w:hAnsi="宋体" w:cs="宋体"/>
                <w:b/>
                <w:bCs/>
                <w:color w:val="000000"/>
              </w:rPr>
              <w:t>/</w:t>
            </w:r>
            <w:r>
              <w:rPr>
                <w:rFonts w:hint="eastAsia" w:ascii="宋体" w:hAnsi="宋体" w:cs="宋体"/>
                <w:b/>
                <w:bCs/>
                <w:color w:val="000000"/>
              </w:rPr>
              <w:t>货值（</w:t>
            </w:r>
            <w:r>
              <w:rPr>
                <w:rFonts w:ascii="宋体" w:hAnsi="宋体" w:cs="宋体"/>
                <w:b/>
                <w:bCs/>
                <w:color w:val="000000"/>
              </w:rPr>
              <w:t>USD</w:t>
            </w:r>
            <w:r>
              <w:rPr>
                <w:rFonts w:hint="eastAsia" w:ascii="宋体" w:hAnsi="宋体" w:cs="宋体"/>
                <w:b/>
                <w:bCs/>
                <w:color w:val="000000"/>
              </w:rPr>
              <w:t>）</w:t>
            </w:r>
          </w:p>
        </w:tc>
        <w:tc>
          <w:tcPr>
            <w:tcW w:w="804" w:type="dxa"/>
            <w:vAlign w:val="center"/>
          </w:tcPr>
          <w:p>
            <w:pPr>
              <w:widowControl/>
              <w:jc w:val="center"/>
              <w:rPr>
                <w:rFonts w:ascii="宋体" w:cs="Times New Roman"/>
                <w:b/>
                <w:bCs/>
                <w:color w:val="000000"/>
              </w:rPr>
            </w:pPr>
            <w:r>
              <w:rPr>
                <w:rFonts w:ascii="宋体" w:hAnsi="宋体" w:cs="宋体"/>
                <w:b/>
                <w:bCs/>
                <w:color w:val="000000"/>
              </w:rPr>
              <w:t>100</w:t>
            </w:r>
          </w:p>
        </w:tc>
        <w:tc>
          <w:tcPr>
            <w:tcW w:w="805" w:type="dxa"/>
            <w:vAlign w:val="center"/>
          </w:tcPr>
          <w:p>
            <w:pPr>
              <w:widowControl/>
              <w:jc w:val="center"/>
              <w:rPr>
                <w:rFonts w:ascii="宋体" w:cs="Times New Roman"/>
                <w:b/>
                <w:bCs/>
                <w:color w:val="000000"/>
              </w:rPr>
            </w:pPr>
            <w:r>
              <w:rPr>
                <w:rFonts w:ascii="宋体" w:hAnsi="宋体" w:cs="宋体"/>
                <w:b/>
                <w:bCs/>
                <w:color w:val="000000"/>
              </w:rPr>
              <w:t>200</w:t>
            </w:r>
          </w:p>
        </w:tc>
        <w:tc>
          <w:tcPr>
            <w:tcW w:w="805" w:type="dxa"/>
            <w:vAlign w:val="center"/>
          </w:tcPr>
          <w:p>
            <w:pPr>
              <w:widowControl/>
              <w:jc w:val="center"/>
              <w:rPr>
                <w:rFonts w:ascii="宋体" w:cs="Times New Roman"/>
                <w:b/>
                <w:bCs/>
                <w:color w:val="000000"/>
              </w:rPr>
            </w:pPr>
            <w:r>
              <w:rPr>
                <w:rFonts w:ascii="宋体" w:hAnsi="宋体" w:cs="宋体"/>
                <w:b/>
                <w:bCs/>
                <w:color w:val="000000"/>
              </w:rPr>
              <w:t>300</w:t>
            </w:r>
          </w:p>
        </w:tc>
        <w:tc>
          <w:tcPr>
            <w:tcW w:w="638" w:type="dxa"/>
            <w:vAlign w:val="center"/>
          </w:tcPr>
          <w:p>
            <w:pPr>
              <w:widowControl/>
              <w:jc w:val="center"/>
              <w:rPr>
                <w:rFonts w:ascii="宋体" w:cs="Times New Roman"/>
                <w:b/>
                <w:bCs/>
                <w:color w:val="000000"/>
              </w:rPr>
            </w:pPr>
            <w:r>
              <w:rPr>
                <w:rFonts w:ascii="宋体" w:hAnsi="宋体" w:cs="宋体"/>
                <w:b/>
                <w:bCs/>
                <w:color w:val="000000"/>
              </w:rPr>
              <w:t>400</w:t>
            </w:r>
          </w:p>
        </w:tc>
        <w:tc>
          <w:tcPr>
            <w:tcW w:w="639" w:type="dxa"/>
            <w:vAlign w:val="center"/>
          </w:tcPr>
          <w:p>
            <w:pPr>
              <w:widowControl/>
              <w:jc w:val="center"/>
              <w:rPr>
                <w:rFonts w:ascii="宋体" w:cs="Times New Roman"/>
                <w:b/>
                <w:bCs/>
                <w:color w:val="000000"/>
              </w:rPr>
            </w:pPr>
            <w:r>
              <w:rPr>
                <w:rFonts w:ascii="宋体" w:hAnsi="宋体" w:cs="宋体"/>
                <w:b/>
                <w:bCs/>
                <w:color w:val="000000"/>
              </w:rPr>
              <w:t>500</w:t>
            </w:r>
          </w:p>
        </w:tc>
        <w:tc>
          <w:tcPr>
            <w:tcW w:w="639" w:type="dxa"/>
            <w:vAlign w:val="center"/>
          </w:tcPr>
          <w:p>
            <w:pPr>
              <w:widowControl/>
              <w:jc w:val="center"/>
              <w:rPr>
                <w:rFonts w:ascii="宋体" w:cs="Times New Roman"/>
                <w:b/>
                <w:bCs/>
                <w:color w:val="000000"/>
              </w:rPr>
            </w:pPr>
            <w:r>
              <w:rPr>
                <w:rFonts w:ascii="宋体" w:hAnsi="宋体" w:cs="宋体"/>
                <w:b/>
                <w:bCs/>
                <w:color w:val="000000"/>
              </w:rPr>
              <w:t>600</w:t>
            </w:r>
          </w:p>
        </w:tc>
        <w:tc>
          <w:tcPr>
            <w:tcW w:w="639" w:type="dxa"/>
            <w:vAlign w:val="center"/>
          </w:tcPr>
          <w:p>
            <w:pPr>
              <w:widowControl/>
              <w:jc w:val="center"/>
              <w:rPr>
                <w:rFonts w:ascii="宋体" w:cs="Times New Roman"/>
                <w:b/>
                <w:bCs/>
                <w:color w:val="000000"/>
              </w:rPr>
            </w:pPr>
            <w:r>
              <w:rPr>
                <w:rFonts w:ascii="宋体" w:hAnsi="宋体" w:cs="宋体"/>
                <w:b/>
                <w:bCs/>
                <w:color w:val="000000"/>
              </w:rPr>
              <w:t>700</w:t>
            </w:r>
          </w:p>
        </w:tc>
        <w:tc>
          <w:tcPr>
            <w:tcW w:w="639" w:type="dxa"/>
            <w:vAlign w:val="center"/>
          </w:tcPr>
          <w:p>
            <w:pPr>
              <w:widowControl/>
              <w:jc w:val="center"/>
              <w:rPr>
                <w:rFonts w:ascii="宋体" w:cs="Times New Roman"/>
                <w:b/>
                <w:bCs/>
                <w:color w:val="000000"/>
              </w:rPr>
            </w:pPr>
            <w:r>
              <w:rPr>
                <w:rFonts w:ascii="宋体" w:hAnsi="宋体" w:cs="宋体"/>
                <w:b/>
                <w:bCs/>
                <w:color w:val="000000"/>
              </w:rPr>
              <w:t>800</w:t>
            </w:r>
          </w:p>
        </w:tc>
        <w:tc>
          <w:tcPr>
            <w:tcW w:w="654" w:type="dxa"/>
            <w:vAlign w:val="center"/>
          </w:tcPr>
          <w:p>
            <w:pPr>
              <w:widowControl/>
              <w:jc w:val="center"/>
              <w:rPr>
                <w:rFonts w:ascii="宋体" w:cs="Times New Roman"/>
                <w:b/>
                <w:bCs/>
                <w:color w:val="000000"/>
              </w:rPr>
            </w:pPr>
            <w:r>
              <w:rPr>
                <w:rFonts w:ascii="宋体" w:hAnsi="宋体" w:cs="宋体"/>
                <w:b/>
                <w:bCs/>
                <w:color w:val="000000"/>
              </w:rPr>
              <w:t>900</w:t>
            </w:r>
          </w:p>
        </w:tc>
        <w:tc>
          <w:tcPr>
            <w:tcW w:w="655" w:type="dxa"/>
            <w:vAlign w:val="center"/>
          </w:tcPr>
          <w:p>
            <w:pPr>
              <w:widowControl/>
              <w:jc w:val="center"/>
              <w:rPr>
                <w:rFonts w:ascii="宋体" w:cs="Times New Roman"/>
                <w:b/>
                <w:bCs/>
                <w:color w:val="000000"/>
              </w:rPr>
            </w:pPr>
            <w:r>
              <w:rPr>
                <w:rFonts w:ascii="宋体" w:hAnsi="宋体" w:cs="宋体"/>
                <w:b/>
                <w:bCs/>
                <w:color w:val="000000"/>
              </w:rPr>
              <w:t>1000</w:t>
            </w:r>
          </w:p>
        </w:tc>
        <w:tc>
          <w:tcPr>
            <w:tcW w:w="655" w:type="dxa"/>
            <w:vAlign w:val="center"/>
          </w:tcPr>
          <w:p>
            <w:pPr>
              <w:widowControl/>
              <w:jc w:val="center"/>
              <w:rPr>
                <w:rFonts w:ascii="宋体" w:cs="Times New Roman"/>
                <w:b/>
                <w:bCs/>
                <w:color w:val="000000"/>
              </w:rPr>
            </w:pPr>
            <w:r>
              <w:rPr>
                <w:rFonts w:ascii="宋体" w:hAnsi="宋体" w:cs="宋体"/>
                <w:b/>
                <w:bCs/>
                <w:color w:val="000000"/>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2W</w:t>
            </w:r>
            <w:r>
              <w:rPr>
                <w:rFonts w:hint="eastAsia" w:ascii="宋体" w:hAnsi="宋体" w:cs="宋体"/>
                <w:color w:val="000000"/>
              </w:rPr>
              <w:t>以下</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Times New Roman"/>
                <w:color w:val="000000"/>
              </w:rPr>
            </w:pPr>
            <w:r>
              <w:rPr>
                <w:rFonts w:ascii="宋体" w:hAnsi="宋体" w:cs="宋体"/>
                <w:color w:val="000000"/>
              </w:rPr>
              <w:t>100</w:t>
            </w:r>
          </w:p>
        </w:tc>
        <w:tc>
          <w:tcPr>
            <w:tcW w:w="805" w:type="dxa"/>
            <w:vAlign w:val="center"/>
          </w:tcPr>
          <w:p>
            <w:pPr>
              <w:widowControl/>
              <w:jc w:val="center"/>
              <w:rPr>
                <w:rFonts w:ascii="宋体" w:cs="Times New Roman"/>
                <w:color w:val="000000"/>
              </w:rPr>
            </w:pPr>
            <w:r>
              <w:rPr>
                <w:rFonts w:ascii="宋体" w:hAnsi="宋体" w:cs="宋体"/>
                <w:color w:val="000000"/>
              </w:rPr>
              <w:t>200</w:t>
            </w:r>
          </w:p>
        </w:tc>
        <w:tc>
          <w:tcPr>
            <w:tcW w:w="638" w:type="dxa"/>
            <w:vAlign w:val="center"/>
          </w:tcPr>
          <w:p>
            <w:pPr>
              <w:widowControl/>
              <w:jc w:val="center"/>
              <w:rPr>
                <w:rFonts w:ascii="宋体" w:cs="Times New Roman"/>
                <w:color w:val="000000"/>
              </w:rPr>
            </w:pPr>
            <w:r>
              <w:rPr>
                <w:rFonts w:ascii="宋体" w:hAnsi="宋体" w:cs="宋体"/>
                <w:color w:val="000000"/>
              </w:rPr>
              <w:t>300</w:t>
            </w:r>
          </w:p>
        </w:tc>
        <w:tc>
          <w:tcPr>
            <w:tcW w:w="639" w:type="dxa"/>
            <w:vAlign w:val="center"/>
          </w:tcPr>
          <w:p>
            <w:pPr>
              <w:widowControl/>
              <w:jc w:val="center"/>
              <w:rPr>
                <w:rFonts w:ascii="宋体" w:cs="Times New Roman"/>
                <w:color w:val="000000"/>
              </w:rPr>
            </w:pPr>
            <w:r>
              <w:rPr>
                <w:rFonts w:ascii="宋体" w:hAnsi="宋体" w:cs="宋体"/>
                <w:color w:val="000000"/>
              </w:rPr>
              <w:t>400</w:t>
            </w:r>
          </w:p>
        </w:tc>
        <w:tc>
          <w:tcPr>
            <w:tcW w:w="639" w:type="dxa"/>
            <w:vAlign w:val="center"/>
          </w:tcPr>
          <w:p>
            <w:pPr>
              <w:widowControl/>
              <w:jc w:val="center"/>
              <w:rPr>
                <w:rFonts w:ascii="宋体" w:cs="Times New Roman"/>
                <w:color w:val="000000"/>
              </w:rPr>
            </w:pPr>
            <w:r>
              <w:rPr>
                <w:rFonts w:ascii="宋体" w:hAnsi="宋体" w:cs="宋体"/>
                <w:color w:val="000000"/>
              </w:rPr>
              <w:t>500</w:t>
            </w:r>
          </w:p>
        </w:tc>
        <w:tc>
          <w:tcPr>
            <w:tcW w:w="639" w:type="dxa"/>
            <w:vAlign w:val="center"/>
          </w:tcPr>
          <w:p>
            <w:pPr>
              <w:widowControl/>
              <w:jc w:val="center"/>
              <w:rPr>
                <w:rFonts w:ascii="宋体" w:cs="Times New Roman"/>
                <w:color w:val="000000"/>
              </w:rPr>
            </w:pPr>
            <w:r>
              <w:rPr>
                <w:rFonts w:ascii="宋体" w:hAnsi="宋体" w:cs="宋体"/>
                <w:color w:val="000000"/>
              </w:rPr>
              <w:t>700</w:t>
            </w:r>
          </w:p>
        </w:tc>
        <w:tc>
          <w:tcPr>
            <w:tcW w:w="639" w:type="dxa"/>
            <w:vAlign w:val="center"/>
          </w:tcPr>
          <w:p>
            <w:pPr>
              <w:widowControl/>
              <w:jc w:val="center"/>
              <w:rPr>
                <w:rFonts w:ascii="宋体" w:cs="Times New Roman"/>
                <w:color w:val="000000"/>
              </w:rPr>
            </w:pPr>
            <w:r>
              <w:rPr>
                <w:rFonts w:ascii="宋体" w:hAnsi="宋体" w:cs="宋体"/>
                <w:color w:val="000000"/>
              </w:rPr>
              <w:t>800</w:t>
            </w:r>
          </w:p>
        </w:tc>
        <w:tc>
          <w:tcPr>
            <w:tcW w:w="654" w:type="dxa"/>
            <w:vAlign w:val="center"/>
          </w:tcPr>
          <w:p>
            <w:pPr>
              <w:widowControl/>
              <w:jc w:val="center"/>
              <w:rPr>
                <w:rFonts w:ascii="宋体" w:cs="Times New Roman"/>
                <w:color w:val="000000"/>
              </w:rPr>
            </w:pPr>
            <w:r>
              <w:rPr>
                <w:rFonts w:ascii="宋体" w:hAnsi="宋体" w:cs="宋体"/>
                <w:color w:val="000000"/>
              </w:rPr>
              <w:t>900</w:t>
            </w:r>
          </w:p>
        </w:tc>
        <w:tc>
          <w:tcPr>
            <w:tcW w:w="655" w:type="dxa"/>
            <w:vAlign w:val="center"/>
          </w:tcPr>
          <w:p>
            <w:pPr>
              <w:widowControl/>
              <w:jc w:val="center"/>
              <w:rPr>
                <w:rFonts w:ascii="宋体" w:cs="Times New Roman"/>
                <w:color w:val="000000"/>
              </w:rPr>
            </w:pPr>
            <w:r>
              <w:rPr>
                <w:rFonts w:ascii="宋体" w:hAnsi="宋体" w:cs="宋体"/>
                <w:color w:val="000000"/>
              </w:rPr>
              <w:t>1200</w:t>
            </w:r>
          </w:p>
        </w:tc>
        <w:tc>
          <w:tcPr>
            <w:tcW w:w="655" w:type="dxa"/>
            <w:vAlign w:val="center"/>
          </w:tcPr>
          <w:p>
            <w:pPr>
              <w:widowControl/>
              <w:jc w:val="center"/>
              <w:rPr>
                <w:rFonts w:ascii="宋体" w:cs="Times New Roman"/>
                <w:color w:val="000000"/>
              </w:rPr>
            </w:pPr>
            <w:r>
              <w:rPr>
                <w:rFonts w:ascii="宋体" w:hAnsi="宋体" w:cs="宋体"/>
                <w:color w:val="000000"/>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4W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Times New Roman"/>
                <w:color w:val="000000"/>
              </w:rPr>
            </w:pPr>
            <w:r>
              <w:rPr>
                <w:rFonts w:ascii="宋体" w:hAnsi="宋体" w:cs="宋体"/>
                <w:color w:val="000000"/>
              </w:rPr>
              <w:t>100</w:t>
            </w:r>
          </w:p>
        </w:tc>
        <w:tc>
          <w:tcPr>
            <w:tcW w:w="638"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300</w:t>
            </w:r>
          </w:p>
        </w:tc>
        <w:tc>
          <w:tcPr>
            <w:tcW w:w="639" w:type="dxa"/>
            <w:vAlign w:val="center"/>
          </w:tcPr>
          <w:p>
            <w:pPr>
              <w:widowControl/>
              <w:jc w:val="center"/>
              <w:rPr>
                <w:rFonts w:ascii="宋体" w:cs="Times New Roman"/>
                <w:color w:val="000000"/>
              </w:rPr>
            </w:pPr>
            <w:r>
              <w:rPr>
                <w:rFonts w:ascii="宋体" w:hAnsi="宋体" w:cs="宋体"/>
                <w:color w:val="000000"/>
              </w:rPr>
              <w:t>400</w:t>
            </w:r>
          </w:p>
        </w:tc>
        <w:tc>
          <w:tcPr>
            <w:tcW w:w="639" w:type="dxa"/>
            <w:vAlign w:val="center"/>
          </w:tcPr>
          <w:p>
            <w:pPr>
              <w:widowControl/>
              <w:jc w:val="center"/>
              <w:rPr>
                <w:rFonts w:ascii="宋体" w:cs="Times New Roman"/>
                <w:color w:val="000000"/>
              </w:rPr>
            </w:pPr>
            <w:r>
              <w:rPr>
                <w:rFonts w:ascii="宋体" w:hAnsi="宋体" w:cs="宋体"/>
                <w:color w:val="000000"/>
              </w:rPr>
              <w:t>600</w:t>
            </w:r>
          </w:p>
        </w:tc>
        <w:tc>
          <w:tcPr>
            <w:tcW w:w="639" w:type="dxa"/>
            <w:vAlign w:val="center"/>
          </w:tcPr>
          <w:p>
            <w:pPr>
              <w:widowControl/>
              <w:jc w:val="center"/>
              <w:rPr>
                <w:rFonts w:ascii="宋体" w:cs="Times New Roman"/>
                <w:color w:val="000000"/>
              </w:rPr>
            </w:pPr>
            <w:r>
              <w:rPr>
                <w:rFonts w:ascii="宋体" w:hAnsi="宋体" w:cs="宋体"/>
                <w:color w:val="000000"/>
              </w:rPr>
              <w:t>700</w:t>
            </w:r>
          </w:p>
        </w:tc>
        <w:tc>
          <w:tcPr>
            <w:tcW w:w="654" w:type="dxa"/>
            <w:vAlign w:val="center"/>
          </w:tcPr>
          <w:p>
            <w:pPr>
              <w:widowControl/>
              <w:jc w:val="center"/>
              <w:rPr>
                <w:rFonts w:ascii="宋体" w:cs="Times New Roman"/>
                <w:color w:val="000000"/>
              </w:rPr>
            </w:pPr>
            <w:r>
              <w:rPr>
                <w:rFonts w:ascii="宋体" w:hAnsi="宋体" w:cs="宋体"/>
                <w:color w:val="000000"/>
              </w:rPr>
              <w:t>800</w:t>
            </w:r>
          </w:p>
        </w:tc>
        <w:tc>
          <w:tcPr>
            <w:tcW w:w="655" w:type="dxa"/>
            <w:vAlign w:val="center"/>
          </w:tcPr>
          <w:p>
            <w:pPr>
              <w:widowControl/>
              <w:jc w:val="center"/>
              <w:rPr>
                <w:rFonts w:ascii="宋体" w:cs="Times New Roman"/>
                <w:color w:val="000000"/>
              </w:rPr>
            </w:pPr>
            <w:r>
              <w:rPr>
                <w:rFonts w:ascii="宋体" w:hAnsi="宋体" w:cs="宋体"/>
                <w:color w:val="000000"/>
              </w:rPr>
              <w:t>1000</w:t>
            </w:r>
          </w:p>
        </w:tc>
        <w:tc>
          <w:tcPr>
            <w:tcW w:w="655" w:type="dxa"/>
            <w:vAlign w:val="center"/>
          </w:tcPr>
          <w:p>
            <w:pPr>
              <w:widowControl/>
              <w:jc w:val="center"/>
              <w:rPr>
                <w:rFonts w:ascii="宋体" w:cs="Times New Roman"/>
                <w:color w:val="000000"/>
              </w:rPr>
            </w:pPr>
            <w:r>
              <w:rPr>
                <w:rFonts w:ascii="宋体" w:hAnsi="宋体" w:cs="宋体"/>
                <w:color w:val="000000"/>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6W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Times New Roman"/>
                <w:color w:val="000000"/>
              </w:rPr>
            </w:pPr>
            <w:r>
              <w:rPr>
                <w:rFonts w:ascii="宋体" w:hAnsi="宋体" w:cs="宋体"/>
                <w:color w:val="000000"/>
              </w:rPr>
              <w:t>100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300</w:t>
            </w:r>
          </w:p>
        </w:tc>
        <w:tc>
          <w:tcPr>
            <w:tcW w:w="654" w:type="dxa"/>
            <w:vAlign w:val="center"/>
          </w:tcPr>
          <w:p>
            <w:pPr>
              <w:widowControl/>
              <w:jc w:val="center"/>
              <w:rPr>
                <w:rFonts w:ascii="宋体" w:cs="Times New Roman"/>
                <w:color w:val="000000"/>
              </w:rPr>
            </w:pPr>
            <w:r>
              <w:rPr>
                <w:rFonts w:ascii="宋体" w:hAnsi="宋体" w:cs="宋体"/>
                <w:color w:val="000000"/>
              </w:rPr>
              <w:t>400</w:t>
            </w:r>
          </w:p>
        </w:tc>
        <w:tc>
          <w:tcPr>
            <w:tcW w:w="655" w:type="dxa"/>
            <w:vAlign w:val="center"/>
          </w:tcPr>
          <w:p>
            <w:pPr>
              <w:widowControl/>
              <w:jc w:val="center"/>
              <w:rPr>
                <w:rFonts w:ascii="宋体" w:cs="Times New Roman"/>
                <w:color w:val="000000"/>
              </w:rPr>
            </w:pPr>
            <w:r>
              <w:rPr>
                <w:rFonts w:ascii="宋体" w:hAnsi="宋体" w:cs="宋体"/>
                <w:color w:val="000000"/>
              </w:rPr>
              <w:t>400</w:t>
            </w:r>
          </w:p>
        </w:tc>
        <w:tc>
          <w:tcPr>
            <w:tcW w:w="655" w:type="dxa"/>
            <w:vAlign w:val="center"/>
          </w:tcPr>
          <w:p>
            <w:pPr>
              <w:widowControl/>
              <w:jc w:val="center"/>
              <w:rPr>
                <w:rFonts w:ascii="宋体" w:cs="Times New Roman"/>
                <w:color w:val="000000"/>
              </w:rPr>
            </w:pPr>
            <w:r>
              <w:rPr>
                <w:rFonts w:ascii="宋体" w:hAnsi="宋体" w:cs="宋体"/>
                <w:color w:val="000000"/>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8W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Times New Roman"/>
                <w:color w:val="000000"/>
              </w:rPr>
            </w:pPr>
            <w:r>
              <w:rPr>
                <w:rFonts w:ascii="宋体" w:hAnsi="宋体" w:cs="宋体"/>
                <w:color w:val="000000"/>
              </w:rPr>
              <w:t>100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54" w:type="dxa"/>
            <w:vAlign w:val="center"/>
          </w:tcPr>
          <w:p>
            <w:pPr>
              <w:widowControl/>
              <w:jc w:val="center"/>
              <w:rPr>
                <w:rFonts w:ascii="宋体" w:cs="Times New Roman"/>
                <w:color w:val="000000"/>
              </w:rPr>
            </w:pPr>
            <w:r>
              <w:rPr>
                <w:rFonts w:ascii="宋体" w:hAnsi="宋体" w:cs="宋体"/>
                <w:color w:val="000000"/>
              </w:rPr>
              <w:t>300</w:t>
            </w:r>
          </w:p>
        </w:tc>
        <w:tc>
          <w:tcPr>
            <w:tcW w:w="655" w:type="dxa"/>
            <w:vAlign w:val="center"/>
          </w:tcPr>
          <w:p>
            <w:pPr>
              <w:widowControl/>
              <w:jc w:val="center"/>
              <w:rPr>
                <w:rFonts w:ascii="宋体" w:cs="Times New Roman"/>
                <w:color w:val="000000"/>
              </w:rPr>
            </w:pPr>
            <w:r>
              <w:rPr>
                <w:rFonts w:ascii="宋体" w:hAnsi="宋体" w:cs="宋体"/>
                <w:color w:val="000000"/>
              </w:rPr>
              <w:t>300</w:t>
            </w:r>
          </w:p>
        </w:tc>
        <w:tc>
          <w:tcPr>
            <w:tcW w:w="655" w:type="dxa"/>
            <w:vAlign w:val="center"/>
          </w:tcPr>
          <w:p>
            <w:pPr>
              <w:widowControl/>
              <w:jc w:val="center"/>
              <w:rPr>
                <w:rFonts w:ascii="宋体" w:cs="Times New Roman"/>
                <w:color w:val="000000"/>
              </w:rPr>
            </w:pPr>
            <w:r>
              <w:rPr>
                <w:rFonts w:ascii="宋体" w:hAnsi="宋体" w:cs="宋体"/>
                <w:color w:val="000000"/>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10W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54" w:type="dxa"/>
            <w:vAlign w:val="center"/>
          </w:tcPr>
          <w:p>
            <w:pPr>
              <w:widowControl/>
              <w:jc w:val="center"/>
              <w:rPr>
                <w:rFonts w:ascii="宋体" w:cs="宋体"/>
                <w:color w:val="000000"/>
              </w:rPr>
            </w:pPr>
            <w:r>
              <w:rPr>
                <w:rFonts w:ascii="宋体" w:cs="宋体"/>
                <w:color w:val="000000"/>
              </w:rPr>
              <w:t>0</w:t>
            </w:r>
          </w:p>
        </w:tc>
        <w:tc>
          <w:tcPr>
            <w:tcW w:w="655" w:type="dxa"/>
            <w:vAlign w:val="center"/>
          </w:tcPr>
          <w:p>
            <w:pPr>
              <w:widowControl/>
              <w:jc w:val="center"/>
              <w:rPr>
                <w:rFonts w:ascii="宋体" w:cs="Times New Roman"/>
                <w:color w:val="000000"/>
              </w:rPr>
            </w:pPr>
            <w:r>
              <w:rPr>
                <w:rFonts w:ascii="宋体" w:hAnsi="宋体" w:cs="宋体"/>
                <w:color w:val="000000"/>
              </w:rPr>
              <w:t>100</w:t>
            </w:r>
          </w:p>
        </w:tc>
        <w:tc>
          <w:tcPr>
            <w:tcW w:w="655" w:type="dxa"/>
            <w:vAlign w:val="center"/>
          </w:tcPr>
          <w:p>
            <w:pPr>
              <w:widowControl/>
              <w:jc w:val="center"/>
              <w:rPr>
                <w:rFonts w:ascii="宋体" w:cs="Times New Roman"/>
                <w:color w:val="000000"/>
              </w:rPr>
            </w:pPr>
            <w:r>
              <w:rPr>
                <w:rFonts w:ascii="宋体" w:hAnsi="宋体" w:cs="宋体"/>
                <w:color w:val="000000"/>
              </w:rPr>
              <w:t>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1500KG</w:t>
      </w:r>
      <w:r>
        <w:rPr>
          <w:rFonts w:hint="eastAsia" w:ascii="宋体" w:hAnsi="宋体" w:cs="宋体"/>
          <w:b/>
          <w:bCs/>
          <w:color w:val="000000"/>
        </w:rPr>
        <w:t>以上的双方商议决定。</w:t>
      </w:r>
    </w:p>
    <w:p>
      <w:pPr>
        <w:widowControl/>
        <w:jc w:val="left"/>
        <w:rPr>
          <w:rFonts w:asciiTheme="majorEastAsia" w:hAnsiTheme="majorEastAsia" w:eastAsiaTheme="majorEastAsia" w:cstheme="majorEastAsia"/>
          <w:color w:val="000000"/>
          <w:szCs w:val="21"/>
        </w:rPr>
      </w:pPr>
    </w:p>
    <w:p/>
    <w:sectPr>
      <w:headerReference r:id="rId3" w:type="default"/>
      <w:footerReference r:id="rId4" w:type="default"/>
      <w:pgSz w:w="11906" w:h="16838"/>
      <w:pgMar w:top="1440" w:right="1797" w:bottom="1559" w:left="1797" w:header="851"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8505" w:type="dxa"/>
      <w:tblInd w:w="108" w:type="dxa"/>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Layout w:type="fixed"/>
      <w:tblCellMar>
        <w:top w:w="0" w:type="dxa"/>
        <w:left w:w="108" w:type="dxa"/>
        <w:bottom w:w="0" w:type="dxa"/>
        <w:right w:w="108" w:type="dxa"/>
      </w:tblCellMar>
    </w:tblPr>
    <w:tblGrid>
      <w:gridCol w:w="1788"/>
      <w:gridCol w:w="6717"/>
    </w:tblGrid>
    <w:tr>
      <w:tblPrEx>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CellMar>
          <w:top w:w="0" w:type="dxa"/>
          <w:left w:w="108" w:type="dxa"/>
          <w:bottom w:w="0" w:type="dxa"/>
          <w:right w:w="108" w:type="dxa"/>
        </w:tblCellMar>
      </w:tblPrEx>
      <w:tc>
        <w:tcPr>
          <w:tcW w:w="1788" w:type="dxa"/>
        </w:tcPr>
        <w:p>
          <w:pPr>
            <w:pStyle w:val="4"/>
            <w:jc w:val="center"/>
            <w:rPr>
              <w:b/>
              <w:bCs/>
              <w:color w:val="002060"/>
            </w:rPr>
          </w:pPr>
          <w:r>
            <w:rPr>
              <w:b/>
              <w:color w:val="002060"/>
            </w:rPr>
            <w:fldChar w:fldCharType="begin"/>
          </w:r>
          <w:r>
            <w:rPr>
              <w:b/>
              <w:color w:val="002060"/>
            </w:rPr>
            <w:instrText xml:space="preserve">PAGE</w:instrText>
          </w:r>
          <w:r>
            <w:rPr>
              <w:b/>
              <w:color w:val="002060"/>
            </w:rPr>
            <w:fldChar w:fldCharType="separate"/>
          </w:r>
          <w:r>
            <w:rPr>
              <w:b/>
              <w:color w:val="002060"/>
            </w:rPr>
            <w:t>1</w:t>
          </w:r>
          <w:r>
            <w:rPr>
              <w:b/>
              <w:color w:val="002060"/>
            </w:rPr>
            <w:fldChar w:fldCharType="end"/>
          </w:r>
          <w:r>
            <w:rPr>
              <w:color w:val="002060"/>
              <w:lang w:val="zh-CN"/>
            </w:rPr>
            <w:t xml:space="preserve"> / </w:t>
          </w:r>
          <w:r>
            <w:rPr>
              <w:b/>
              <w:color w:val="002060"/>
            </w:rPr>
            <w:fldChar w:fldCharType="begin"/>
          </w:r>
          <w:r>
            <w:rPr>
              <w:b/>
              <w:color w:val="002060"/>
            </w:rPr>
            <w:instrText xml:space="preserve">NUMPAGES</w:instrText>
          </w:r>
          <w:r>
            <w:rPr>
              <w:b/>
              <w:color w:val="002060"/>
            </w:rPr>
            <w:fldChar w:fldCharType="separate"/>
          </w:r>
          <w:r>
            <w:rPr>
              <w:b/>
              <w:color w:val="002060"/>
            </w:rPr>
            <w:t>1</w:t>
          </w:r>
          <w:r>
            <w:rPr>
              <w:b/>
              <w:color w:val="002060"/>
            </w:rPr>
            <w:fldChar w:fldCharType="end"/>
          </w:r>
        </w:p>
      </w:tc>
      <w:tc>
        <w:tcPr>
          <w:tcW w:w="6717" w:type="dxa"/>
        </w:tcPr>
        <w:p>
          <w:pPr>
            <w:pStyle w:val="4"/>
            <w:jc w:val="right"/>
            <w:rPr>
              <w:rFonts w:hint="eastAsia" w:ascii="Times New Roman" w:hAnsi="Times New Roman" w:eastAsia="楷体_GB2312" w:cs="Times New Roman"/>
              <w:color w:val="002060"/>
              <w:sz w:val="21"/>
              <w:szCs w:val="21"/>
              <w:lang w:eastAsia="zh-CN"/>
            </w:rPr>
          </w:pPr>
          <w:r>
            <w:rPr>
              <w:rFonts w:hint="eastAsia" w:ascii="Times New Roman" w:hAnsi="Times New Roman" w:eastAsia="楷体_GB2312" w:cs="Times New Roman"/>
              <w:color w:val="002060"/>
              <w:sz w:val="21"/>
              <w:szCs w:val="21"/>
              <w:lang w:eastAsia="zh-CN"/>
            </w:rPr>
            <w:t>深圳市芯达通供应链管理有限公司</w:t>
          </w:r>
        </w:p>
        <w:p>
          <w:pPr>
            <w:pStyle w:val="4"/>
            <w:wordWrap w:val="0"/>
            <w:jc w:val="right"/>
            <w:rPr>
              <w:color w:val="002060"/>
            </w:rPr>
          </w:pPr>
          <w:r>
            <w:rPr>
              <w:rFonts w:hint="eastAsia" w:ascii="Times New Roman" w:hAnsi="Times New Roman" w:eastAsia="楷体_GB2312" w:cs="Times New Roman"/>
              <w:color w:val="002060"/>
              <w:kern w:val="0"/>
              <w:sz w:val="10"/>
              <w:szCs w:val="15"/>
            </w:rPr>
            <w:t>SHENZHEN CHUANGXIN HENGYUAN SUPPLY CHAIN MANAGEMENT CO.,LTD</w:t>
          </w:r>
        </w:p>
      </w:tc>
    </w:tr>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8522" w:type="dxa"/>
      <w:tblInd w:w="0" w:type="dxa"/>
      <w:tblLayout w:type="fixed"/>
      <w:tblCellMar>
        <w:top w:w="0" w:type="dxa"/>
        <w:left w:w="108" w:type="dxa"/>
        <w:bottom w:w="0" w:type="dxa"/>
        <w:right w:w="108" w:type="dxa"/>
      </w:tblCellMar>
    </w:tblPr>
    <w:tblGrid>
      <w:gridCol w:w="3936"/>
      <w:gridCol w:w="4586"/>
    </w:tblGrid>
    <w:tr>
      <w:tc>
        <w:tcPr>
          <w:tcW w:w="3936" w:type="dxa"/>
          <w:vAlign w:val="center"/>
        </w:tcPr>
        <w:p>
          <w:pPr>
            <w:pStyle w:val="5"/>
            <w:pBdr>
              <w:bottom w:val="none" w:color="auto" w:sz="0" w:space="0"/>
            </w:pBdr>
            <w:jc w:val="both"/>
            <w:rPr>
              <w:sz w:val="10"/>
              <w:szCs w:val="10"/>
            </w:rPr>
          </w:pPr>
          <w:r>
            <w:rPr>
              <w:sz w:val="10"/>
              <w:szCs w:val="10"/>
            </w:rPr>
            <w:drawing>
              <wp:inline distT="0" distB="0" distL="0" distR="0">
                <wp:extent cx="1171575" cy="561975"/>
                <wp:effectExtent l="0" t="0" r="0" b="0"/>
                <wp:docPr id="1" name="图片 1" descr="创新恒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创新恒远"/>
                        <pic:cNvPicPr>
                          <a:picLocks noChangeAspect="1" noChangeArrowheads="1"/>
                        </pic:cNvPicPr>
                      </pic:nvPicPr>
                      <pic:blipFill>
                        <a:blip r:embed="rId1"/>
                        <a:srcRect/>
                        <a:stretch>
                          <a:fillRect/>
                        </a:stretch>
                      </pic:blipFill>
                      <pic:spPr>
                        <a:xfrm>
                          <a:off x="0" y="0"/>
                          <a:ext cx="1171575" cy="561975"/>
                        </a:xfrm>
                        <a:prstGeom prst="rect">
                          <a:avLst/>
                        </a:prstGeom>
                        <a:noFill/>
                        <a:ln w="9525">
                          <a:noFill/>
                          <a:miter lim="800000"/>
                          <a:headEnd/>
                          <a:tailEnd/>
                        </a:ln>
                      </pic:spPr>
                    </pic:pic>
                  </a:graphicData>
                </a:graphic>
              </wp:inline>
            </w:drawing>
          </w:r>
        </w:p>
      </w:tc>
      <w:tc>
        <w:tcPr>
          <w:tcW w:w="4586" w:type="dxa"/>
          <w:vAlign w:val="center"/>
        </w:tcPr>
        <w:p>
          <w:pPr>
            <w:pStyle w:val="5"/>
            <w:pBdr>
              <w:bottom w:val="none" w:color="auto" w:sz="0" w:space="0"/>
            </w:pBdr>
            <w:jc w:val="right"/>
            <w:rPr>
              <w:rFonts w:ascii="楷体_GB2312" w:eastAsia="楷体_GB2312"/>
              <w:sz w:val="21"/>
              <w:szCs w:val="21"/>
            </w:rPr>
          </w:pPr>
        </w:p>
        <w:p>
          <w:pPr>
            <w:pStyle w:val="5"/>
            <w:pBdr>
              <w:bottom w:val="none" w:color="auto" w:sz="0" w:space="0"/>
            </w:pBdr>
            <w:jc w:val="right"/>
            <w:rPr>
              <w:rFonts w:ascii="楷体_GB2312" w:eastAsia="楷体_GB2312"/>
              <w:sz w:val="21"/>
              <w:szCs w:val="21"/>
            </w:rPr>
          </w:pPr>
          <w:r>
            <w:rPr>
              <w:rFonts w:hint="eastAsia" w:ascii="楷体_GB2312" w:eastAsia="楷体_GB2312"/>
              <w:sz w:val="21"/>
              <w:szCs w:val="21"/>
            </w:rPr>
            <w:t>供应链服务协议</w:t>
          </w:r>
        </w:p>
      </w:tc>
    </w:tr>
  </w:tbl>
  <w:p>
    <w:pPr>
      <w:pStyle w:val="5"/>
      <w:jc w:val="both"/>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C43C8"/>
    <w:multiLevelType w:val="multilevel"/>
    <w:tmpl w:val="122C43C8"/>
    <w:lvl w:ilvl="0" w:tentative="0">
      <w:start w:val="1"/>
      <w:numFmt w:val="decimal"/>
      <w:lvlText w:val="5.%1"/>
      <w:lvlJc w:val="left"/>
      <w:pPr>
        <w:tabs>
          <w:tab w:val="left" w:pos="567"/>
        </w:tabs>
        <w:ind w:left="567"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9AF1169"/>
    <w:multiLevelType w:val="multilevel"/>
    <w:tmpl w:val="19AF1169"/>
    <w:lvl w:ilvl="0" w:tentative="0">
      <w:start w:val="1"/>
      <w:numFmt w:val="decimal"/>
      <w:lvlText w:val="8.%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F5E3A15"/>
    <w:multiLevelType w:val="multilevel"/>
    <w:tmpl w:val="3F5E3A15"/>
    <w:lvl w:ilvl="0" w:tentative="0">
      <w:start w:val="1"/>
      <w:numFmt w:val="decimal"/>
      <w:lvlText w:val="4.%1"/>
      <w:lvlJc w:val="left"/>
      <w:pPr>
        <w:tabs>
          <w:tab w:val="left" w:pos="567"/>
        </w:tabs>
        <w:ind w:left="567" w:hanging="567"/>
      </w:pPr>
      <w:rPr>
        <w:rFonts w:hint="default"/>
      </w:rPr>
    </w:lvl>
    <w:lvl w:ilvl="1" w:tentative="0">
      <w:start w:val="1"/>
      <w:numFmt w:val="decimal"/>
      <w:lvlText w:val="4.2.%2"/>
      <w:lvlJc w:val="left"/>
      <w:pPr>
        <w:tabs>
          <w:tab w:val="left" w:pos="1134"/>
        </w:tabs>
        <w:ind w:left="1134" w:hanging="85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4F41045"/>
    <w:multiLevelType w:val="multilevel"/>
    <w:tmpl w:val="44F41045"/>
    <w:lvl w:ilvl="0" w:tentative="0">
      <w:start w:val="1"/>
      <w:numFmt w:val="decimal"/>
      <w:lvlText w:val="9.%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DDE7C3B"/>
    <w:multiLevelType w:val="multilevel"/>
    <w:tmpl w:val="4DDE7C3B"/>
    <w:lvl w:ilvl="0" w:tentative="0">
      <w:start w:val="1"/>
      <w:numFmt w:val="chineseCountingThousand"/>
      <w:lvlText w:val="第%1条"/>
      <w:lvlJc w:val="left"/>
      <w:pPr>
        <w:tabs>
          <w:tab w:val="left" w:pos="2258"/>
        </w:tabs>
        <w:ind w:left="2258" w:hanging="840"/>
      </w:pPr>
      <w:rPr>
        <w:rFonts w:hint="default"/>
      </w:rPr>
    </w:lvl>
    <w:lvl w:ilvl="1" w:tentative="0">
      <w:start w:val="1"/>
      <w:numFmt w:val="lowerLetter"/>
      <w:lvlText w:val="%2)"/>
      <w:lvlJc w:val="left"/>
      <w:pPr>
        <w:tabs>
          <w:tab w:val="left" w:pos="2258"/>
        </w:tabs>
        <w:ind w:left="2258" w:hanging="420"/>
      </w:pPr>
    </w:lvl>
    <w:lvl w:ilvl="2" w:tentative="0">
      <w:start w:val="1"/>
      <w:numFmt w:val="lowerRoman"/>
      <w:lvlText w:val="%3."/>
      <w:lvlJc w:val="right"/>
      <w:pPr>
        <w:tabs>
          <w:tab w:val="left" w:pos="2678"/>
        </w:tabs>
        <w:ind w:left="2678" w:hanging="420"/>
      </w:pPr>
    </w:lvl>
    <w:lvl w:ilvl="3" w:tentative="0">
      <w:start w:val="1"/>
      <w:numFmt w:val="decimal"/>
      <w:lvlText w:val="%4."/>
      <w:lvlJc w:val="left"/>
      <w:pPr>
        <w:tabs>
          <w:tab w:val="left" w:pos="3098"/>
        </w:tabs>
        <w:ind w:left="3098" w:hanging="420"/>
      </w:pPr>
    </w:lvl>
    <w:lvl w:ilvl="4" w:tentative="0">
      <w:start w:val="1"/>
      <w:numFmt w:val="lowerLetter"/>
      <w:lvlText w:val="%5)"/>
      <w:lvlJc w:val="left"/>
      <w:pPr>
        <w:tabs>
          <w:tab w:val="left" w:pos="3518"/>
        </w:tabs>
        <w:ind w:left="3518" w:hanging="420"/>
      </w:pPr>
    </w:lvl>
    <w:lvl w:ilvl="5" w:tentative="0">
      <w:start w:val="1"/>
      <w:numFmt w:val="lowerRoman"/>
      <w:lvlText w:val="%6."/>
      <w:lvlJc w:val="right"/>
      <w:pPr>
        <w:tabs>
          <w:tab w:val="left" w:pos="3938"/>
        </w:tabs>
        <w:ind w:left="3938" w:hanging="420"/>
      </w:pPr>
    </w:lvl>
    <w:lvl w:ilvl="6" w:tentative="0">
      <w:start w:val="1"/>
      <w:numFmt w:val="decimal"/>
      <w:lvlText w:val="%7."/>
      <w:lvlJc w:val="left"/>
      <w:pPr>
        <w:tabs>
          <w:tab w:val="left" w:pos="4358"/>
        </w:tabs>
        <w:ind w:left="4358" w:hanging="420"/>
      </w:pPr>
    </w:lvl>
    <w:lvl w:ilvl="7" w:tentative="0">
      <w:start w:val="1"/>
      <w:numFmt w:val="lowerLetter"/>
      <w:lvlText w:val="%8)"/>
      <w:lvlJc w:val="left"/>
      <w:pPr>
        <w:tabs>
          <w:tab w:val="left" w:pos="4778"/>
        </w:tabs>
        <w:ind w:left="4778" w:hanging="420"/>
      </w:pPr>
    </w:lvl>
    <w:lvl w:ilvl="8" w:tentative="0">
      <w:start w:val="1"/>
      <w:numFmt w:val="lowerRoman"/>
      <w:lvlText w:val="%9."/>
      <w:lvlJc w:val="right"/>
      <w:pPr>
        <w:tabs>
          <w:tab w:val="left" w:pos="5198"/>
        </w:tabs>
        <w:ind w:left="5198" w:hanging="420"/>
      </w:pPr>
    </w:lvl>
  </w:abstractNum>
  <w:abstractNum w:abstractNumId="5">
    <w:nsid w:val="5A542EAF"/>
    <w:multiLevelType w:val="singleLevel"/>
    <w:tmpl w:val="5A542EAF"/>
    <w:lvl w:ilvl="0" w:tentative="0">
      <w:start w:val="1"/>
      <w:numFmt w:val="decimal"/>
      <w:suff w:val="nothing"/>
      <w:lvlText w:val="（%1）"/>
      <w:lvlJc w:val="left"/>
    </w:lvl>
  </w:abstractNum>
  <w:abstractNum w:abstractNumId="6">
    <w:nsid w:val="64317669"/>
    <w:multiLevelType w:val="multilevel"/>
    <w:tmpl w:val="64317669"/>
    <w:lvl w:ilvl="0" w:tentative="0">
      <w:start w:val="1"/>
      <w:numFmt w:val="decimal"/>
      <w:lvlText w:val="2.%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5963FB3"/>
    <w:multiLevelType w:val="multilevel"/>
    <w:tmpl w:val="75963FB3"/>
    <w:lvl w:ilvl="0" w:tentative="0">
      <w:start w:val="1"/>
      <w:numFmt w:val="decimal"/>
      <w:lvlText w:val="3.%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770729D7"/>
    <w:multiLevelType w:val="multilevel"/>
    <w:tmpl w:val="770729D7"/>
    <w:lvl w:ilvl="0" w:tentative="0">
      <w:start w:val="1"/>
      <w:numFmt w:val="decimal"/>
      <w:lvlText w:val="10.%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6"/>
  </w:num>
  <w:num w:numId="3">
    <w:abstractNumId w:val="7"/>
  </w:num>
  <w:num w:numId="4">
    <w:abstractNumId w:val="2"/>
  </w:num>
  <w:num w:numId="5">
    <w:abstractNumId w:val="0"/>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E4F42"/>
    <w:rsid w:val="029E5B3C"/>
    <w:rsid w:val="063F22E3"/>
    <w:rsid w:val="0A1E6477"/>
    <w:rsid w:val="0AA519B4"/>
    <w:rsid w:val="0C803651"/>
    <w:rsid w:val="0D7115AA"/>
    <w:rsid w:val="19F000C5"/>
    <w:rsid w:val="1BF13BD1"/>
    <w:rsid w:val="222B624C"/>
    <w:rsid w:val="27D2196A"/>
    <w:rsid w:val="29876500"/>
    <w:rsid w:val="2C241607"/>
    <w:rsid w:val="2D275DB1"/>
    <w:rsid w:val="30367D9A"/>
    <w:rsid w:val="31571509"/>
    <w:rsid w:val="317D7C69"/>
    <w:rsid w:val="31E9134F"/>
    <w:rsid w:val="39577BE0"/>
    <w:rsid w:val="44BB3EF8"/>
    <w:rsid w:val="474765C4"/>
    <w:rsid w:val="48502299"/>
    <w:rsid w:val="4BEB21FE"/>
    <w:rsid w:val="4CF55342"/>
    <w:rsid w:val="4D047F77"/>
    <w:rsid w:val="52005E16"/>
    <w:rsid w:val="52597B69"/>
    <w:rsid w:val="54022B8B"/>
    <w:rsid w:val="54A31CB7"/>
    <w:rsid w:val="55F51CFB"/>
    <w:rsid w:val="568A379E"/>
    <w:rsid w:val="56D039B0"/>
    <w:rsid w:val="5753421C"/>
    <w:rsid w:val="5C7F6F28"/>
    <w:rsid w:val="5EF17E2F"/>
    <w:rsid w:val="65BC513E"/>
    <w:rsid w:val="65FA488F"/>
    <w:rsid w:val="68AE7F8B"/>
    <w:rsid w:val="6DB426F1"/>
    <w:rsid w:val="70CD1CB9"/>
    <w:rsid w:val="726111B5"/>
    <w:rsid w:val="73E52011"/>
    <w:rsid w:val="776A652C"/>
    <w:rsid w:val="7C5B21E8"/>
    <w:rsid w:val="7D20365E"/>
    <w:rsid w:val="7EDB710F"/>
    <w:rsid w:val="7FCC0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2019-10-21T09:19:00Z</dcterms:created>
  <dc:creator>刘芳</dc:creator>
  <cp:lastModifiedBy>王辉</cp:lastModifiedBy>
  <dcterms:modified xsi:type="dcterms:W3CDTF">2019-11-05T09:28:30Z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