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09F0" w14:textId="77777777" w:rsidR="006257DB" w:rsidRDefault="00A60062">
      <w:pPr>
        <w:pStyle w:val="ReportTitle"/>
        <w:jc w:val="center"/>
      </w:pPr>
      <w:r>
        <w:t>StreamFlix Content Analytics – Management Report</w:t>
      </w:r>
    </w:p>
    <w:p w14:paraId="26B21AC0" w14:textId="77777777" w:rsidR="006257DB" w:rsidRDefault="00A60062">
      <w:pPr>
        <w:pStyle w:val="TinyBody"/>
        <w:spacing w:after="80"/>
        <w:jc w:val="center"/>
      </w:pPr>
      <w:r>
        <w:rPr>
          <w:b/>
        </w:rPr>
        <w:t>Prepared by: Hemanth  |  Role: Junior Data Analyst</w:t>
      </w:r>
    </w:p>
    <w:p w14:paraId="19B8F412" w14:textId="77777777" w:rsidR="006257DB" w:rsidRDefault="00A60062">
      <w:pPr>
        <w:pStyle w:val="SectionHead"/>
        <w:keepNext/>
      </w:pPr>
      <w:r>
        <w:t>1. Executive Summary</w:t>
      </w:r>
    </w:p>
    <w:p w14:paraId="6778127B" w14:textId="77777777" w:rsidR="006257DB" w:rsidRDefault="00A60062">
      <w:pPr>
        <w:pStyle w:val="SmallBody"/>
        <w:jc w:val="both"/>
      </w:pPr>
      <w:r>
        <w:t>StreamFlix’s content and subscriber data was analysed to understand viewing engagement, subscriber behaviour, content performance, customer experience, and catalogue investment efficiency. The analysis covers approximately 3.33 million total watch hours across 15,000 subscribers and 9,000 titles.</w:t>
      </w:r>
    </w:p>
    <w:p w14:paraId="0469DE84" w14:textId="77777777" w:rsidR="006257DB" w:rsidRDefault="00A60062">
      <w:pPr>
        <w:pStyle w:val="SmallBody"/>
        <w:jc w:val="both"/>
      </w:pPr>
      <w:r>
        <w:t>Overall platform performance is strong, with an active subscriber rate of 74.66%, an average content completion rate of 65.31%, and a watchlist conversion rate of 46.23%. However, the churn rate is 25.34%, indicating that subscriber retention should remain an important business priority.</w:t>
      </w:r>
    </w:p>
    <w:p w14:paraId="30470F9A" w14:textId="77777777" w:rsidR="00136F5D" w:rsidRDefault="00136F5D">
      <w:pPr>
        <w:pStyle w:val="SmallBody"/>
        <w:jc w:val="both"/>
      </w:pPr>
    </w:p>
    <w:p w14:paraId="6C8A1BA8" w14:textId="77777777" w:rsidR="006257DB" w:rsidRDefault="00A60062">
      <w:pPr>
        <w:pStyle w:val="SectionHead"/>
        <w:keepNext/>
      </w:pPr>
      <w:r>
        <w:t>2. Key Business KPIs</w:t>
      </w:r>
    </w:p>
    <w:p w14:paraId="574A3E79" w14:textId="77777777" w:rsidR="00136F5D" w:rsidRDefault="00136F5D">
      <w:pPr>
        <w:pStyle w:val="SectionHead"/>
        <w:keepNext/>
      </w:pPr>
    </w:p>
    <w:tbl>
      <w:tblPr>
        <w:tblW w:w="0" w:type="auto"/>
        <w:jc w:val="center"/>
        <w:tblLayout w:type="fixed"/>
        <w:tblLook w:val="04A0" w:firstRow="1" w:lastRow="0" w:firstColumn="1" w:lastColumn="0" w:noHBand="0" w:noVBand="1"/>
      </w:tblPr>
      <w:tblGrid>
        <w:gridCol w:w="6264"/>
        <w:gridCol w:w="5285"/>
      </w:tblGrid>
      <w:tr w:rsidR="006257DB" w14:paraId="16B69302" w14:textId="77777777">
        <w:trPr>
          <w:tblHeader/>
          <w:jc w:val="center"/>
        </w:trPr>
        <w:tc>
          <w:tcPr>
            <w:tcW w:w="5285" w:type="dxa"/>
            <w:shd w:val="clear" w:color="auto" w:fill="D9EAF7"/>
            <w:tcMar>
              <w:top w:w="45" w:type="dxa"/>
              <w:left w:w="55" w:type="dxa"/>
              <w:bottom w:w="45" w:type="dxa"/>
              <w:right w:w="55" w:type="dxa"/>
            </w:tcMar>
            <w:vAlign w:val="center"/>
          </w:tcPr>
          <w:p w14:paraId="0953F498" w14:textId="77777777" w:rsidR="006257DB" w:rsidRDefault="00A60062">
            <w:r>
              <w:rPr>
                <w:b/>
                <w:sz w:val="17"/>
              </w:rPr>
              <w:t>KPI</w:t>
            </w:r>
          </w:p>
        </w:tc>
        <w:tc>
          <w:tcPr>
            <w:tcW w:w="5285" w:type="dxa"/>
            <w:shd w:val="clear" w:color="auto" w:fill="D9EAF7"/>
            <w:tcMar>
              <w:top w:w="45" w:type="dxa"/>
              <w:left w:w="55" w:type="dxa"/>
              <w:bottom w:w="45" w:type="dxa"/>
              <w:right w:w="55" w:type="dxa"/>
            </w:tcMar>
            <w:vAlign w:val="center"/>
          </w:tcPr>
          <w:p w14:paraId="74DB28BB" w14:textId="77777777" w:rsidR="006257DB" w:rsidRDefault="00A60062">
            <w:r>
              <w:rPr>
                <w:b/>
                <w:sz w:val="17"/>
              </w:rPr>
              <w:t>Result</w:t>
            </w:r>
          </w:p>
        </w:tc>
      </w:tr>
      <w:tr w:rsidR="006257DB" w14:paraId="0802B79E" w14:textId="77777777">
        <w:trPr>
          <w:jc w:val="center"/>
        </w:trPr>
        <w:tc>
          <w:tcPr>
            <w:tcW w:w="6264" w:type="dxa"/>
            <w:tcMar>
              <w:top w:w="32" w:type="dxa"/>
              <w:left w:w="55" w:type="dxa"/>
              <w:bottom w:w="32" w:type="dxa"/>
              <w:right w:w="55" w:type="dxa"/>
            </w:tcMar>
            <w:vAlign w:val="center"/>
          </w:tcPr>
          <w:p w14:paraId="75327DFA" w14:textId="77777777" w:rsidR="006257DB" w:rsidRDefault="00A60062">
            <w:pPr>
              <w:spacing w:after="0" w:line="240" w:lineRule="auto"/>
            </w:pPr>
            <w:r>
              <w:rPr>
                <w:color w:val="222222"/>
                <w:sz w:val="16"/>
              </w:rPr>
              <w:t>Total Watch Hours</w:t>
            </w:r>
          </w:p>
        </w:tc>
        <w:tc>
          <w:tcPr>
            <w:tcW w:w="3312" w:type="dxa"/>
            <w:tcMar>
              <w:top w:w="32" w:type="dxa"/>
              <w:left w:w="55" w:type="dxa"/>
              <w:bottom w:w="32" w:type="dxa"/>
              <w:right w:w="55" w:type="dxa"/>
            </w:tcMar>
            <w:vAlign w:val="center"/>
          </w:tcPr>
          <w:p w14:paraId="2D17E040" w14:textId="77777777" w:rsidR="006257DB" w:rsidRDefault="00A60062">
            <w:pPr>
              <w:spacing w:after="0" w:line="240" w:lineRule="auto"/>
            </w:pPr>
            <w:r>
              <w:rPr>
                <w:color w:val="222222"/>
                <w:sz w:val="16"/>
              </w:rPr>
              <w:t>3,333,467.73 hours</w:t>
            </w:r>
          </w:p>
        </w:tc>
      </w:tr>
      <w:tr w:rsidR="006257DB" w14:paraId="3A2FC42F" w14:textId="77777777">
        <w:trPr>
          <w:jc w:val="center"/>
        </w:trPr>
        <w:tc>
          <w:tcPr>
            <w:tcW w:w="6264" w:type="dxa"/>
            <w:shd w:val="clear" w:color="auto" w:fill="F5F8FB"/>
            <w:tcMar>
              <w:top w:w="32" w:type="dxa"/>
              <w:left w:w="55" w:type="dxa"/>
              <w:bottom w:w="32" w:type="dxa"/>
              <w:right w:w="55" w:type="dxa"/>
            </w:tcMar>
            <w:vAlign w:val="center"/>
          </w:tcPr>
          <w:p w14:paraId="6B4ADCFF" w14:textId="77777777" w:rsidR="006257DB" w:rsidRDefault="00A60062">
            <w:pPr>
              <w:spacing w:after="0" w:line="240" w:lineRule="auto"/>
            </w:pPr>
            <w:r>
              <w:rPr>
                <w:color w:val="222222"/>
                <w:sz w:val="16"/>
              </w:rPr>
              <w:t>Active Subscriber Rate</w:t>
            </w:r>
          </w:p>
        </w:tc>
        <w:tc>
          <w:tcPr>
            <w:tcW w:w="3312" w:type="dxa"/>
            <w:shd w:val="clear" w:color="auto" w:fill="F5F8FB"/>
            <w:tcMar>
              <w:top w:w="32" w:type="dxa"/>
              <w:left w:w="55" w:type="dxa"/>
              <w:bottom w:w="32" w:type="dxa"/>
              <w:right w:w="55" w:type="dxa"/>
            </w:tcMar>
            <w:vAlign w:val="center"/>
          </w:tcPr>
          <w:p w14:paraId="320D101C" w14:textId="77777777" w:rsidR="006257DB" w:rsidRDefault="00A60062">
            <w:pPr>
              <w:spacing w:after="0" w:line="240" w:lineRule="auto"/>
            </w:pPr>
            <w:r>
              <w:rPr>
                <w:color w:val="222222"/>
                <w:sz w:val="16"/>
              </w:rPr>
              <w:t>74.66%</w:t>
            </w:r>
          </w:p>
        </w:tc>
      </w:tr>
      <w:tr w:rsidR="006257DB" w14:paraId="3EAC3F2E" w14:textId="77777777">
        <w:trPr>
          <w:jc w:val="center"/>
        </w:trPr>
        <w:tc>
          <w:tcPr>
            <w:tcW w:w="6264" w:type="dxa"/>
            <w:tcMar>
              <w:top w:w="32" w:type="dxa"/>
              <w:left w:w="55" w:type="dxa"/>
              <w:bottom w:w="32" w:type="dxa"/>
              <w:right w:w="55" w:type="dxa"/>
            </w:tcMar>
            <w:vAlign w:val="center"/>
          </w:tcPr>
          <w:p w14:paraId="558619E3" w14:textId="77777777" w:rsidR="006257DB" w:rsidRDefault="00A60062">
            <w:pPr>
              <w:spacing w:after="0" w:line="240" w:lineRule="auto"/>
            </w:pPr>
            <w:r>
              <w:rPr>
                <w:color w:val="222222"/>
                <w:sz w:val="16"/>
              </w:rPr>
              <w:t>Churn Rate</w:t>
            </w:r>
          </w:p>
        </w:tc>
        <w:tc>
          <w:tcPr>
            <w:tcW w:w="3312" w:type="dxa"/>
            <w:tcMar>
              <w:top w:w="32" w:type="dxa"/>
              <w:left w:w="55" w:type="dxa"/>
              <w:bottom w:w="32" w:type="dxa"/>
              <w:right w:w="55" w:type="dxa"/>
            </w:tcMar>
            <w:vAlign w:val="center"/>
          </w:tcPr>
          <w:p w14:paraId="149BF900" w14:textId="77777777" w:rsidR="006257DB" w:rsidRDefault="00A60062">
            <w:pPr>
              <w:spacing w:after="0" w:line="240" w:lineRule="auto"/>
            </w:pPr>
            <w:r>
              <w:rPr>
                <w:color w:val="222222"/>
                <w:sz w:val="16"/>
              </w:rPr>
              <w:t>25.34%</w:t>
            </w:r>
          </w:p>
        </w:tc>
      </w:tr>
      <w:tr w:rsidR="006257DB" w14:paraId="0B0A436D" w14:textId="77777777">
        <w:trPr>
          <w:jc w:val="center"/>
        </w:trPr>
        <w:tc>
          <w:tcPr>
            <w:tcW w:w="6264" w:type="dxa"/>
            <w:shd w:val="clear" w:color="auto" w:fill="F5F8FB"/>
            <w:tcMar>
              <w:top w:w="32" w:type="dxa"/>
              <w:left w:w="55" w:type="dxa"/>
              <w:bottom w:w="32" w:type="dxa"/>
              <w:right w:w="55" w:type="dxa"/>
            </w:tcMar>
            <w:vAlign w:val="center"/>
          </w:tcPr>
          <w:p w14:paraId="71009ACE" w14:textId="77777777" w:rsidR="006257DB" w:rsidRDefault="00A60062">
            <w:pPr>
              <w:spacing w:after="0" w:line="240" w:lineRule="auto"/>
            </w:pPr>
            <w:r>
              <w:rPr>
                <w:color w:val="222222"/>
                <w:sz w:val="16"/>
              </w:rPr>
              <w:t>Average Completion Rate</w:t>
            </w:r>
          </w:p>
        </w:tc>
        <w:tc>
          <w:tcPr>
            <w:tcW w:w="3312" w:type="dxa"/>
            <w:shd w:val="clear" w:color="auto" w:fill="F5F8FB"/>
            <w:tcMar>
              <w:top w:w="32" w:type="dxa"/>
              <w:left w:w="55" w:type="dxa"/>
              <w:bottom w:w="32" w:type="dxa"/>
              <w:right w:w="55" w:type="dxa"/>
            </w:tcMar>
            <w:vAlign w:val="center"/>
          </w:tcPr>
          <w:p w14:paraId="3F3FBB89" w14:textId="77777777" w:rsidR="006257DB" w:rsidRDefault="00A60062">
            <w:pPr>
              <w:spacing w:after="0" w:line="240" w:lineRule="auto"/>
            </w:pPr>
            <w:r>
              <w:rPr>
                <w:color w:val="222222"/>
                <w:sz w:val="16"/>
              </w:rPr>
              <w:t>65.31%</w:t>
            </w:r>
          </w:p>
        </w:tc>
      </w:tr>
      <w:tr w:rsidR="006257DB" w14:paraId="18778AF6" w14:textId="77777777">
        <w:trPr>
          <w:jc w:val="center"/>
        </w:trPr>
        <w:tc>
          <w:tcPr>
            <w:tcW w:w="6264" w:type="dxa"/>
            <w:tcMar>
              <w:top w:w="32" w:type="dxa"/>
              <w:left w:w="55" w:type="dxa"/>
              <w:bottom w:w="32" w:type="dxa"/>
              <w:right w:w="55" w:type="dxa"/>
            </w:tcMar>
            <w:vAlign w:val="center"/>
          </w:tcPr>
          <w:p w14:paraId="23C9591B" w14:textId="77777777" w:rsidR="006257DB" w:rsidRDefault="00A60062">
            <w:pPr>
              <w:spacing w:after="0" w:line="240" w:lineRule="auto"/>
            </w:pPr>
            <w:r>
              <w:rPr>
                <w:color w:val="222222"/>
                <w:sz w:val="16"/>
              </w:rPr>
              <w:t>Monthly Recurring Revenue (MRR)</w:t>
            </w:r>
          </w:p>
        </w:tc>
        <w:tc>
          <w:tcPr>
            <w:tcW w:w="3312" w:type="dxa"/>
            <w:tcMar>
              <w:top w:w="32" w:type="dxa"/>
              <w:left w:w="55" w:type="dxa"/>
              <w:bottom w:w="32" w:type="dxa"/>
              <w:right w:w="55" w:type="dxa"/>
            </w:tcMar>
            <w:vAlign w:val="center"/>
          </w:tcPr>
          <w:p w14:paraId="7E6C3699" w14:textId="77777777" w:rsidR="006257DB" w:rsidRDefault="00A60062">
            <w:pPr>
              <w:spacing w:after="0" w:line="240" w:lineRule="auto"/>
            </w:pPr>
            <w:r>
              <w:rPr>
                <w:color w:val="222222"/>
                <w:sz w:val="16"/>
              </w:rPr>
              <w:t>$175,868.51</w:t>
            </w:r>
          </w:p>
        </w:tc>
      </w:tr>
      <w:tr w:rsidR="006257DB" w14:paraId="341B8C4C" w14:textId="77777777">
        <w:trPr>
          <w:jc w:val="center"/>
        </w:trPr>
        <w:tc>
          <w:tcPr>
            <w:tcW w:w="6264" w:type="dxa"/>
            <w:shd w:val="clear" w:color="auto" w:fill="F5F8FB"/>
            <w:tcMar>
              <w:top w:w="32" w:type="dxa"/>
              <w:left w:w="55" w:type="dxa"/>
              <w:bottom w:w="32" w:type="dxa"/>
              <w:right w:w="55" w:type="dxa"/>
            </w:tcMar>
            <w:vAlign w:val="center"/>
          </w:tcPr>
          <w:p w14:paraId="3D1AD11D" w14:textId="77777777" w:rsidR="006257DB" w:rsidRDefault="00A60062">
            <w:pPr>
              <w:spacing w:after="0" w:line="240" w:lineRule="auto"/>
            </w:pPr>
            <w:r>
              <w:rPr>
                <w:color w:val="222222"/>
                <w:sz w:val="16"/>
              </w:rPr>
              <w:t>Average Revenue Per User (ARPU)</w:t>
            </w:r>
          </w:p>
        </w:tc>
        <w:tc>
          <w:tcPr>
            <w:tcW w:w="3312" w:type="dxa"/>
            <w:shd w:val="clear" w:color="auto" w:fill="F5F8FB"/>
            <w:tcMar>
              <w:top w:w="32" w:type="dxa"/>
              <w:left w:w="55" w:type="dxa"/>
              <w:bottom w:w="32" w:type="dxa"/>
              <w:right w:w="55" w:type="dxa"/>
            </w:tcMar>
            <w:vAlign w:val="center"/>
          </w:tcPr>
          <w:p w14:paraId="48D525E5" w14:textId="77777777" w:rsidR="006257DB" w:rsidRDefault="00A60062">
            <w:pPr>
              <w:spacing w:after="0" w:line="240" w:lineRule="auto"/>
            </w:pPr>
            <w:r>
              <w:rPr>
                <w:color w:val="222222"/>
                <w:sz w:val="16"/>
              </w:rPr>
              <w:t>$15.70</w:t>
            </w:r>
          </w:p>
        </w:tc>
      </w:tr>
      <w:tr w:rsidR="006257DB" w14:paraId="329BBD2D" w14:textId="77777777">
        <w:trPr>
          <w:jc w:val="center"/>
        </w:trPr>
        <w:tc>
          <w:tcPr>
            <w:tcW w:w="6264" w:type="dxa"/>
            <w:tcMar>
              <w:top w:w="32" w:type="dxa"/>
              <w:left w:w="55" w:type="dxa"/>
              <w:bottom w:w="32" w:type="dxa"/>
              <w:right w:w="55" w:type="dxa"/>
            </w:tcMar>
            <w:vAlign w:val="center"/>
          </w:tcPr>
          <w:p w14:paraId="1FE20BBD" w14:textId="77777777" w:rsidR="006257DB" w:rsidRDefault="00A60062">
            <w:pPr>
              <w:spacing w:after="0" w:line="240" w:lineRule="auto"/>
            </w:pPr>
            <w:r>
              <w:rPr>
                <w:color w:val="222222"/>
                <w:sz w:val="16"/>
              </w:rPr>
              <w:t>Avg. Watch Time per Active Subscriber</w:t>
            </w:r>
          </w:p>
        </w:tc>
        <w:tc>
          <w:tcPr>
            <w:tcW w:w="3312" w:type="dxa"/>
            <w:tcMar>
              <w:top w:w="32" w:type="dxa"/>
              <w:left w:w="55" w:type="dxa"/>
              <w:bottom w:w="32" w:type="dxa"/>
              <w:right w:w="55" w:type="dxa"/>
            </w:tcMar>
            <w:vAlign w:val="center"/>
          </w:tcPr>
          <w:p w14:paraId="3DE91A1E" w14:textId="77777777" w:rsidR="006257DB" w:rsidRDefault="00A60062">
            <w:pPr>
              <w:spacing w:after="0" w:line="240" w:lineRule="auto"/>
            </w:pPr>
            <w:r>
              <w:rPr>
                <w:color w:val="222222"/>
                <w:sz w:val="16"/>
              </w:rPr>
              <w:t>297.66 hours</w:t>
            </w:r>
          </w:p>
        </w:tc>
      </w:tr>
      <w:tr w:rsidR="006257DB" w14:paraId="2A6E2498" w14:textId="77777777">
        <w:trPr>
          <w:jc w:val="center"/>
        </w:trPr>
        <w:tc>
          <w:tcPr>
            <w:tcW w:w="6264" w:type="dxa"/>
            <w:shd w:val="clear" w:color="auto" w:fill="F5F8FB"/>
            <w:tcMar>
              <w:top w:w="32" w:type="dxa"/>
              <w:left w:w="55" w:type="dxa"/>
              <w:bottom w:w="32" w:type="dxa"/>
              <w:right w:w="55" w:type="dxa"/>
            </w:tcMar>
            <w:vAlign w:val="center"/>
          </w:tcPr>
          <w:p w14:paraId="1BB53DBE" w14:textId="77777777" w:rsidR="006257DB" w:rsidRDefault="00A60062">
            <w:pPr>
              <w:spacing w:after="0" w:line="240" w:lineRule="auto"/>
            </w:pPr>
            <w:r>
              <w:rPr>
                <w:color w:val="222222"/>
                <w:sz w:val="16"/>
              </w:rPr>
              <w:t>Watchlist Conversion Rate</w:t>
            </w:r>
          </w:p>
        </w:tc>
        <w:tc>
          <w:tcPr>
            <w:tcW w:w="3312" w:type="dxa"/>
            <w:shd w:val="clear" w:color="auto" w:fill="F5F8FB"/>
            <w:tcMar>
              <w:top w:w="32" w:type="dxa"/>
              <w:left w:w="55" w:type="dxa"/>
              <w:bottom w:w="32" w:type="dxa"/>
              <w:right w:w="55" w:type="dxa"/>
            </w:tcMar>
            <w:vAlign w:val="center"/>
          </w:tcPr>
          <w:p w14:paraId="130E6610" w14:textId="77777777" w:rsidR="006257DB" w:rsidRDefault="00A60062">
            <w:pPr>
              <w:spacing w:after="0" w:line="240" w:lineRule="auto"/>
            </w:pPr>
            <w:r>
              <w:rPr>
                <w:color w:val="222222"/>
                <w:sz w:val="16"/>
              </w:rPr>
              <w:t>46.23%</w:t>
            </w:r>
          </w:p>
        </w:tc>
      </w:tr>
      <w:tr w:rsidR="006257DB" w14:paraId="1C4888C0" w14:textId="77777777">
        <w:trPr>
          <w:jc w:val="center"/>
        </w:trPr>
        <w:tc>
          <w:tcPr>
            <w:tcW w:w="6264" w:type="dxa"/>
            <w:tcMar>
              <w:top w:w="32" w:type="dxa"/>
              <w:left w:w="55" w:type="dxa"/>
              <w:bottom w:w="32" w:type="dxa"/>
              <w:right w:w="55" w:type="dxa"/>
            </w:tcMar>
            <w:vAlign w:val="center"/>
          </w:tcPr>
          <w:p w14:paraId="5E7E9835" w14:textId="77777777" w:rsidR="006257DB" w:rsidRDefault="00A60062">
            <w:pPr>
              <w:spacing w:after="0" w:line="240" w:lineRule="auto"/>
            </w:pPr>
            <w:r>
              <w:rPr>
                <w:color w:val="222222"/>
                <w:sz w:val="16"/>
              </w:rPr>
              <w:t>Hit Concentration</w:t>
            </w:r>
          </w:p>
        </w:tc>
        <w:tc>
          <w:tcPr>
            <w:tcW w:w="3312" w:type="dxa"/>
            <w:tcMar>
              <w:top w:w="32" w:type="dxa"/>
              <w:left w:w="55" w:type="dxa"/>
              <w:bottom w:w="32" w:type="dxa"/>
              <w:right w:w="55" w:type="dxa"/>
            </w:tcMar>
            <w:vAlign w:val="center"/>
          </w:tcPr>
          <w:p w14:paraId="39A223EA" w14:textId="77777777" w:rsidR="006257DB" w:rsidRDefault="00A60062">
            <w:pPr>
              <w:spacing w:after="0" w:line="240" w:lineRule="auto"/>
            </w:pPr>
            <w:r>
              <w:rPr>
                <w:color w:val="222222"/>
                <w:sz w:val="16"/>
              </w:rPr>
              <w:t>30.99%</w:t>
            </w:r>
          </w:p>
        </w:tc>
      </w:tr>
      <w:tr w:rsidR="006257DB" w14:paraId="6307F8E9" w14:textId="77777777">
        <w:trPr>
          <w:jc w:val="center"/>
        </w:trPr>
        <w:tc>
          <w:tcPr>
            <w:tcW w:w="6264" w:type="dxa"/>
            <w:shd w:val="clear" w:color="auto" w:fill="F5F8FB"/>
            <w:tcMar>
              <w:top w:w="32" w:type="dxa"/>
              <w:left w:w="55" w:type="dxa"/>
              <w:bottom w:w="32" w:type="dxa"/>
              <w:right w:w="55" w:type="dxa"/>
            </w:tcMar>
            <w:vAlign w:val="center"/>
          </w:tcPr>
          <w:p w14:paraId="25B2DED4" w14:textId="77777777" w:rsidR="006257DB" w:rsidRDefault="00A60062">
            <w:pPr>
              <w:spacing w:after="0" w:line="240" w:lineRule="auto"/>
            </w:pPr>
            <w:r>
              <w:rPr>
                <w:color w:val="222222"/>
                <w:sz w:val="16"/>
              </w:rPr>
              <w:t>Originals Share of Watch Hours</w:t>
            </w:r>
          </w:p>
        </w:tc>
        <w:tc>
          <w:tcPr>
            <w:tcW w:w="3312" w:type="dxa"/>
            <w:shd w:val="clear" w:color="auto" w:fill="F5F8FB"/>
            <w:tcMar>
              <w:top w:w="32" w:type="dxa"/>
              <w:left w:w="55" w:type="dxa"/>
              <w:bottom w:w="32" w:type="dxa"/>
              <w:right w:w="55" w:type="dxa"/>
            </w:tcMar>
            <w:vAlign w:val="center"/>
          </w:tcPr>
          <w:p w14:paraId="5A1B43E1" w14:textId="77777777" w:rsidR="006257DB" w:rsidRDefault="00A60062">
            <w:pPr>
              <w:spacing w:after="0" w:line="240" w:lineRule="auto"/>
            </w:pPr>
            <w:r>
              <w:rPr>
                <w:color w:val="222222"/>
                <w:sz w:val="16"/>
              </w:rPr>
              <w:t>27.17%</w:t>
            </w:r>
          </w:p>
        </w:tc>
      </w:tr>
    </w:tbl>
    <w:p w14:paraId="29D63FC0" w14:textId="77777777" w:rsidR="00136F5D" w:rsidRDefault="00136F5D">
      <w:pPr>
        <w:pStyle w:val="SectionHead"/>
        <w:keepNext/>
      </w:pPr>
    </w:p>
    <w:p w14:paraId="43E4EB3F" w14:textId="564B8265" w:rsidR="006257DB" w:rsidRDefault="00A60062">
      <w:pPr>
        <w:pStyle w:val="SectionHead"/>
        <w:keepNext/>
      </w:pPr>
      <w:r>
        <w:t>3. Key Findings</w:t>
      </w:r>
    </w:p>
    <w:p w14:paraId="2894A635" w14:textId="77777777" w:rsidR="00136F5D" w:rsidRDefault="00136F5D">
      <w:pPr>
        <w:pStyle w:val="SectionHead"/>
        <w:keepNext/>
      </w:pPr>
    </w:p>
    <w:p w14:paraId="4021993E" w14:textId="77777777" w:rsidR="006257DB" w:rsidRDefault="00A60062">
      <w:pPr>
        <w:pStyle w:val="TinyBody"/>
        <w:ind w:left="259" w:hanging="173"/>
      </w:pPr>
      <w:r>
        <w:rPr>
          <w:b/>
        </w:rPr>
        <w:t xml:space="preserve">• </w:t>
      </w:r>
      <w:r>
        <w:t>Subscriber engagement: 15,000 subscribers, 74.66% active, and 25.34% churn. Retention remains an important focus despite churn being below the project threshold of 30%.</w:t>
      </w:r>
    </w:p>
    <w:p w14:paraId="6400B2B1" w14:textId="77777777" w:rsidR="006257DB" w:rsidRDefault="00A60062">
      <w:pPr>
        <w:pStyle w:val="TinyBody"/>
        <w:ind w:left="259" w:hanging="173"/>
      </w:pPr>
      <w:r>
        <w:rPr>
          <w:b/>
        </w:rPr>
        <w:t xml:space="preserve">• </w:t>
      </w:r>
      <w:r>
        <w:t>Viewing growth: May 2026 recorded the highest monthly watch time at approximately 1.16 million hours. January–June watch hours increased by about 847.28% from 2025 to 2026.</w:t>
      </w:r>
    </w:p>
    <w:p w14:paraId="09D421F8" w14:textId="77777777" w:rsidR="006257DB" w:rsidRDefault="00A60062">
      <w:pPr>
        <w:pStyle w:val="TinyBody"/>
        <w:ind w:left="259" w:hanging="173"/>
      </w:pPr>
      <w:r>
        <w:rPr>
          <w:b/>
        </w:rPr>
        <w:t xml:space="preserve">• </w:t>
      </w:r>
      <w:r>
        <w:t>Content performance: Drama leads watch hours, followed by Comedy and Action. TV Shows contribute 86.47% of watch hours versus 13.53% for Movies.</w:t>
      </w:r>
    </w:p>
    <w:p w14:paraId="2A27EFA0" w14:textId="77777777" w:rsidR="006257DB" w:rsidRDefault="00A60062">
      <w:r>
        <w:br w:type="page"/>
      </w:r>
    </w:p>
    <w:p w14:paraId="5920A05E" w14:textId="77777777" w:rsidR="006257DB" w:rsidRDefault="00A60062">
      <w:pPr>
        <w:pStyle w:val="SectionHead"/>
        <w:keepNext/>
      </w:pPr>
      <w:r>
        <w:lastRenderedPageBreak/>
        <w:t>4. Subscriber, Content &amp; Customer Insights</w:t>
      </w:r>
    </w:p>
    <w:p w14:paraId="7C6F061D" w14:textId="77777777" w:rsidR="00136F5D" w:rsidRDefault="00136F5D">
      <w:pPr>
        <w:pStyle w:val="SectionHead"/>
        <w:keepNext/>
      </w:pPr>
    </w:p>
    <w:p w14:paraId="53B52EC8" w14:textId="77777777" w:rsidR="006257DB" w:rsidRDefault="00A60062">
      <w:pPr>
        <w:pStyle w:val="SubHead"/>
        <w:keepNext/>
      </w:pPr>
      <w:r>
        <w:t>4.1 Subscriber Profile</w:t>
      </w:r>
    </w:p>
    <w:p w14:paraId="25AD2E9A" w14:textId="77777777" w:rsidR="00136F5D" w:rsidRDefault="00136F5D">
      <w:pPr>
        <w:pStyle w:val="SubHead"/>
        <w:keepNext/>
      </w:pPr>
    </w:p>
    <w:p w14:paraId="68D0996D" w14:textId="77777777" w:rsidR="006257DB" w:rsidRDefault="00A60062">
      <w:pPr>
        <w:pStyle w:val="TinyBody"/>
        <w:jc w:val="both"/>
      </w:pPr>
      <w:r>
        <w:t>The Standard plan is the largest subscriber segment at 40.67%, followed by Basic with Ads at 29.72% and Premium at 29.61%. Monthly signup levels also rise over time and are strongest during 2025–2026, indicating continued subscriber-base growth.</w:t>
      </w:r>
    </w:p>
    <w:p w14:paraId="0BF6A2FC" w14:textId="77777777" w:rsidR="00136F5D" w:rsidRDefault="00136F5D">
      <w:pPr>
        <w:pStyle w:val="TinyBody"/>
        <w:jc w:val="both"/>
      </w:pPr>
    </w:p>
    <w:p w14:paraId="259AE495" w14:textId="77777777" w:rsidR="006257DB" w:rsidRDefault="00A60062">
      <w:pPr>
        <w:pStyle w:val="SubHead"/>
        <w:keepNext/>
      </w:pPr>
      <w:r>
        <w:t>4.2 Geographic Engagement</w:t>
      </w:r>
    </w:p>
    <w:p w14:paraId="50523B9D" w14:textId="77777777" w:rsidR="00136F5D" w:rsidRDefault="00136F5D">
      <w:pPr>
        <w:pStyle w:val="SubHead"/>
        <w:keepNext/>
      </w:pPr>
    </w:p>
    <w:p w14:paraId="423FF6E1" w14:textId="77777777" w:rsidR="006257DB" w:rsidRDefault="00A60062">
      <w:pPr>
        <w:pStyle w:val="TinyBody"/>
        <w:jc w:val="both"/>
      </w:pPr>
      <w:r>
        <w:t>The United States generates the highest total watch hours at approximately 910,551, followed by India at approximately 380,918 and the United Kingdom at approximately 285,346. South Korea and Brazil are also significant viewing markets.</w:t>
      </w:r>
    </w:p>
    <w:p w14:paraId="78F86006" w14:textId="77777777" w:rsidR="00136F5D" w:rsidRDefault="00136F5D">
      <w:pPr>
        <w:pStyle w:val="TinyBody"/>
        <w:jc w:val="both"/>
      </w:pPr>
    </w:p>
    <w:p w14:paraId="2AEEEBE8" w14:textId="77777777" w:rsidR="006257DB" w:rsidRDefault="00A60062">
      <w:pPr>
        <w:pStyle w:val="SubHead"/>
        <w:keepNext/>
      </w:pPr>
      <w:r>
        <w:t>4.3 Content Performance</w:t>
      </w:r>
    </w:p>
    <w:p w14:paraId="28295D08" w14:textId="77777777" w:rsidR="00136F5D" w:rsidRDefault="00136F5D">
      <w:pPr>
        <w:pStyle w:val="SubHead"/>
        <w:keepNext/>
      </w:pPr>
    </w:p>
    <w:p w14:paraId="2ADCF8C7" w14:textId="77777777" w:rsidR="006257DB" w:rsidRDefault="00A60062">
      <w:pPr>
        <w:pStyle w:val="TinyBody"/>
        <w:jc w:val="both"/>
      </w:pPr>
      <w:r>
        <w:t>Drama generates the highest watch hours, followed by Comedy and Action. TV Shows account for 86.47% of total watch hours, confirming that episodic content is the main engagement driver. Completion rates are relatively consistent across genres, with Musical highest at 66.83% and Reality lowest at 64.70%.</w:t>
      </w:r>
    </w:p>
    <w:p w14:paraId="76D3CA81" w14:textId="77777777" w:rsidR="00136F5D" w:rsidRDefault="00136F5D">
      <w:pPr>
        <w:pStyle w:val="TinyBody"/>
        <w:jc w:val="both"/>
      </w:pPr>
    </w:p>
    <w:p w14:paraId="7A40A76E" w14:textId="77777777" w:rsidR="006257DB" w:rsidRDefault="00A60062">
      <w:pPr>
        <w:pStyle w:val="SubHead"/>
        <w:keepNext/>
      </w:pPr>
      <w:r>
        <w:t>4.4 Customer Experience</w:t>
      </w:r>
    </w:p>
    <w:p w14:paraId="1F4B2AC6" w14:textId="77777777" w:rsidR="00136F5D" w:rsidRDefault="00136F5D">
      <w:pPr>
        <w:pStyle w:val="SubHead"/>
        <w:keepNext/>
      </w:pPr>
    </w:p>
    <w:p w14:paraId="1D642F8F" w14:textId="77777777" w:rsidR="006257DB" w:rsidRDefault="00A60062">
      <w:pPr>
        <w:pStyle w:val="TinyBody"/>
        <w:jc w:val="both"/>
      </w:pPr>
      <w:r>
        <w:t>Smart TV is the most-used viewing device at 34.07% of viewing sessions, followed by Mobile at 27.02% and Laptop at 14.83%. Review sentiment is strongly positive: 68.19% Positive, 20.69% Neutral, and 11.12% Negative.</w:t>
      </w:r>
    </w:p>
    <w:p w14:paraId="27813986" w14:textId="77777777" w:rsidR="006257DB" w:rsidRDefault="00A60062">
      <w:pPr>
        <w:pStyle w:val="TinyBody"/>
        <w:jc w:val="both"/>
      </w:pPr>
      <w:r>
        <w:t>Ratings support the same conclusion. Four-star ratings are most common (48,564), followed by three-star ratings (44,491), five-star ratings (20,589), two-star ratings (14,570), and one-star ratings (1,786).</w:t>
      </w:r>
    </w:p>
    <w:p w14:paraId="299844D8" w14:textId="77777777" w:rsidR="00136F5D" w:rsidRDefault="00136F5D">
      <w:pPr>
        <w:pStyle w:val="TinyBody"/>
        <w:jc w:val="both"/>
      </w:pPr>
    </w:p>
    <w:p w14:paraId="2388827A" w14:textId="77777777" w:rsidR="006257DB" w:rsidRDefault="00A60062">
      <w:pPr>
        <w:pStyle w:val="SubHead"/>
        <w:keepNext/>
      </w:pPr>
      <w:r>
        <w:t>4.5 Business Interpretation</w:t>
      </w:r>
    </w:p>
    <w:p w14:paraId="7BA0B205" w14:textId="77777777" w:rsidR="00136F5D" w:rsidRDefault="00136F5D">
      <w:pPr>
        <w:pStyle w:val="SubHead"/>
        <w:keepNext/>
      </w:pPr>
    </w:p>
    <w:p w14:paraId="47025005" w14:textId="77777777" w:rsidR="006257DB" w:rsidRDefault="00A60062">
      <w:pPr>
        <w:pStyle w:val="TinyBody"/>
        <w:ind w:left="259" w:hanging="173"/>
      </w:pPr>
      <w:r>
        <w:rPr>
          <w:b/>
        </w:rPr>
        <w:t xml:space="preserve">• </w:t>
      </w:r>
      <w:r>
        <w:t>Retain focus on the Standard plan while maintaining differentiated value across all three subscription tiers.</w:t>
      </w:r>
    </w:p>
    <w:p w14:paraId="3EC4B784" w14:textId="77777777" w:rsidR="006257DB" w:rsidRDefault="00A60062">
      <w:pPr>
        <w:pStyle w:val="TinyBody"/>
        <w:ind w:left="259" w:hanging="173"/>
      </w:pPr>
      <w:r>
        <w:rPr>
          <w:b/>
        </w:rPr>
        <w:t xml:space="preserve">• </w:t>
      </w:r>
      <w:r>
        <w:t>Prioritise high-engagement markets—especially the United States, India, and the United Kingdom—for subscriber and content growth opportunities.</w:t>
      </w:r>
    </w:p>
    <w:p w14:paraId="1BC12BC8" w14:textId="77777777" w:rsidR="006257DB" w:rsidRDefault="00A60062">
      <w:pPr>
        <w:pStyle w:val="TinyBody"/>
        <w:ind w:left="259" w:hanging="173"/>
      </w:pPr>
      <w:r>
        <w:rPr>
          <w:b/>
        </w:rPr>
        <w:t xml:space="preserve">• </w:t>
      </w:r>
      <w:r>
        <w:t>Protect the Smart TV and mobile experience because together they account for more than 60% of viewing sessions.</w:t>
      </w:r>
    </w:p>
    <w:p w14:paraId="5CB94F8D" w14:textId="77777777" w:rsidR="006257DB" w:rsidRDefault="00A60062">
      <w:pPr>
        <w:pStyle w:val="TinyBody"/>
        <w:ind w:left="259" w:hanging="173"/>
      </w:pPr>
      <w:r>
        <w:rPr>
          <w:b/>
        </w:rPr>
        <w:t xml:space="preserve">• </w:t>
      </w:r>
      <w:r>
        <w:t>Use strong positive sentiment and four-star concentration as evidence of generally favourable content reception, while monitoring the 11.12% Negative review share.</w:t>
      </w:r>
    </w:p>
    <w:p w14:paraId="4C2DC165" w14:textId="77777777" w:rsidR="006257DB" w:rsidRDefault="00A60062">
      <w:r>
        <w:br w:type="page"/>
      </w:r>
    </w:p>
    <w:p w14:paraId="12610C1F" w14:textId="77777777" w:rsidR="006257DB" w:rsidRDefault="00A60062">
      <w:pPr>
        <w:pStyle w:val="SectionHead"/>
        <w:keepNext/>
      </w:pPr>
      <w:r>
        <w:lastRenderedPageBreak/>
        <w:t>5. Catalogue &amp; Investment Insights</w:t>
      </w:r>
    </w:p>
    <w:p w14:paraId="7B9AF990" w14:textId="77777777" w:rsidR="00136F5D" w:rsidRDefault="00136F5D">
      <w:pPr>
        <w:pStyle w:val="SectionHead"/>
        <w:keepNext/>
      </w:pPr>
    </w:p>
    <w:p w14:paraId="301ABF3B" w14:textId="77777777" w:rsidR="006257DB" w:rsidRDefault="00A60062">
      <w:pPr>
        <w:pStyle w:val="SubHead"/>
        <w:keepNext/>
      </w:pPr>
      <w:r>
        <w:t>5.1 Catalogue Mix</w:t>
      </w:r>
    </w:p>
    <w:p w14:paraId="56617C51" w14:textId="77777777" w:rsidR="00136F5D" w:rsidRDefault="00136F5D">
      <w:pPr>
        <w:pStyle w:val="SubHead"/>
        <w:keepNext/>
      </w:pPr>
    </w:p>
    <w:p w14:paraId="0D26F63B" w14:textId="77777777" w:rsidR="006257DB" w:rsidRDefault="00A60062">
      <w:pPr>
        <w:pStyle w:val="TinyBody"/>
        <w:jc w:val="both"/>
      </w:pPr>
      <w:r>
        <w:t>Licensed titles represent 78.16% of the catalogue and Originals 21.84%. Originals contribute 27.17% of total watch hours, indicating stronger engagement relative to their catalogue share.</w:t>
      </w:r>
    </w:p>
    <w:p w14:paraId="1D763A1E" w14:textId="77777777" w:rsidR="00136F5D" w:rsidRDefault="00136F5D">
      <w:pPr>
        <w:pStyle w:val="TinyBody"/>
        <w:jc w:val="both"/>
      </w:pPr>
    </w:p>
    <w:p w14:paraId="2AC0E6F6" w14:textId="77777777" w:rsidR="006257DB" w:rsidRDefault="00A60062">
      <w:pPr>
        <w:pStyle w:val="SubHead"/>
        <w:keepNext/>
      </w:pPr>
      <w:r>
        <w:t>5.2 Investment Efficiency</w:t>
      </w:r>
    </w:p>
    <w:p w14:paraId="2F0FC12D" w14:textId="77777777" w:rsidR="00136F5D" w:rsidRDefault="00136F5D">
      <w:pPr>
        <w:pStyle w:val="SubHead"/>
        <w:keepNext/>
      </w:pPr>
    </w:p>
    <w:p w14:paraId="456947AE" w14:textId="77777777" w:rsidR="006257DB" w:rsidRDefault="00A60062">
      <w:pPr>
        <w:pStyle w:val="TinyBody"/>
        <w:jc w:val="both"/>
      </w:pPr>
      <w:r>
        <w:t>Watch hours generated per $1,000 of content spend show Animation as the strongest viewing return among the analysed genres. This measure helps compare engagement with licensing cost and identify stronger-value genres.</w:t>
      </w:r>
    </w:p>
    <w:p w14:paraId="6CD76D08" w14:textId="77777777" w:rsidR="00136F5D" w:rsidRDefault="00136F5D">
      <w:pPr>
        <w:pStyle w:val="TinyBody"/>
        <w:jc w:val="both"/>
      </w:pPr>
    </w:p>
    <w:p w14:paraId="72EFAFA8" w14:textId="77777777" w:rsidR="006257DB" w:rsidRDefault="00A60062">
      <w:pPr>
        <w:pStyle w:val="SubHead"/>
        <w:keepNext/>
      </w:pPr>
      <w:r>
        <w:t xml:space="preserve">5.3 </w:t>
      </w:r>
      <w:proofErr w:type="spellStart"/>
      <w:r>
        <w:t>Licence</w:t>
      </w:r>
      <w:proofErr w:type="spellEnd"/>
      <w:r>
        <w:t xml:space="preserve"> Expiry Risk</w:t>
      </w:r>
    </w:p>
    <w:p w14:paraId="5AF6A78C" w14:textId="77777777" w:rsidR="00136F5D" w:rsidRDefault="00136F5D">
      <w:pPr>
        <w:pStyle w:val="SubHead"/>
        <w:keepNext/>
      </w:pPr>
    </w:p>
    <w:p w14:paraId="7032AAE0" w14:textId="77777777" w:rsidR="006257DB" w:rsidRDefault="00A60062">
      <w:pPr>
        <w:pStyle w:val="TinyBody"/>
        <w:jc w:val="both"/>
      </w:pPr>
      <w:r>
        <w:t xml:space="preserve">Several licensed titles are scheduled to expire within 180 days of the dataset cutoff. Renewal decisions should consider both viewing performance and licensing cost so high-performing titles can be prioritised and lower-value </w:t>
      </w:r>
      <w:proofErr w:type="spellStart"/>
      <w:r>
        <w:t>licences</w:t>
      </w:r>
      <w:proofErr w:type="spellEnd"/>
      <w:r>
        <w:t xml:space="preserve"> reconsidered.</w:t>
      </w:r>
    </w:p>
    <w:p w14:paraId="19ACE9E6" w14:textId="77777777" w:rsidR="00136F5D" w:rsidRDefault="00136F5D">
      <w:pPr>
        <w:pStyle w:val="TinyBody"/>
        <w:jc w:val="both"/>
      </w:pPr>
    </w:p>
    <w:p w14:paraId="62D2547A" w14:textId="77777777" w:rsidR="006257DB" w:rsidRDefault="00A60062">
      <w:pPr>
        <w:pStyle w:val="SectionHead"/>
        <w:keepNext/>
      </w:pPr>
      <w:r>
        <w:t>6. Management Recommendations</w:t>
      </w:r>
    </w:p>
    <w:p w14:paraId="28093EA7" w14:textId="77777777" w:rsidR="00136F5D" w:rsidRDefault="00136F5D">
      <w:pPr>
        <w:pStyle w:val="SectionHead"/>
        <w:keepNext/>
      </w:pPr>
    </w:p>
    <w:p w14:paraId="39FFA4F6" w14:textId="77777777" w:rsidR="006257DB" w:rsidRDefault="00A60062">
      <w:pPr>
        <w:pStyle w:val="TinyBody"/>
        <w:spacing w:after="24"/>
        <w:ind w:left="317" w:hanging="259"/>
      </w:pPr>
      <w:r>
        <w:rPr>
          <w:b/>
        </w:rPr>
        <w:t xml:space="preserve">1. </w:t>
      </w:r>
      <w:r>
        <w:t>Improve subscriber retention by investigating the drivers of the 25.34% churn rate and targeting high-risk subscriber segments.</w:t>
      </w:r>
    </w:p>
    <w:p w14:paraId="1F6846A3" w14:textId="77777777" w:rsidR="006257DB" w:rsidRDefault="00A60062">
      <w:pPr>
        <w:pStyle w:val="TinyBody"/>
        <w:spacing w:after="24"/>
        <w:ind w:left="317" w:hanging="259"/>
      </w:pPr>
      <w:r>
        <w:rPr>
          <w:b/>
        </w:rPr>
        <w:t xml:space="preserve">2. </w:t>
      </w:r>
      <w:r>
        <w:t>Continue investing in high-engagement genres such as Drama, Comedy, and Action while also considering cost efficiency.</w:t>
      </w:r>
    </w:p>
    <w:p w14:paraId="7E6AA9D0" w14:textId="77777777" w:rsidR="006257DB" w:rsidRDefault="00A60062">
      <w:pPr>
        <w:pStyle w:val="TinyBody"/>
        <w:spacing w:after="24"/>
        <w:ind w:left="317" w:hanging="259"/>
      </w:pPr>
      <w:r>
        <w:rPr>
          <w:b/>
        </w:rPr>
        <w:t xml:space="preserve">3. </w:t>
      </w:r>
      <w:r>
        <w:t>Prioritise TV Show content because it generates approximately 86.47% of total watch hours.</w:t>
      </w:r>
    </w:p>
    <w:p w14:paraId="5D017F28" w14:textId="77777777" w:rsidR="006257DB" w:rsidRDefault="00A60062">
      <w:pPr>
        <w:pStyle w:val="TinyBody"/>
        <w:spacing w:after="24"/>
        <w:ind w:left="317" w:hanging="259"/>
      </w:pPr>
      <w:r>
        <w:rPr>
          <w:b/>
        </w:rPr>
        <w:t xml:space="preserve">4. </w:t>
      </w:r>
      <w:r>
        <w:t>Strengthen StreamFlix Originals selectively: Originals are 21.84% of the catalogue but contribute 27.17% of watch hours.</w:t>
      </w:r>
    </w:p>
    <w:p w14:paraId="1D77FF45" w14:textId="77777777" w:rsidR="006257DB" w:rsidRDefault="00A60062">
      <w:pPr>
        <w:pStyle w:val="TinyBody"/>
        <w:spacing w:after="24"/>
        <w:ind w:left="317" w:hanging="259"/>
      </w:pPr>
      <w:r>
        <w:rPr>
          <w:b/>
        </w:rPr>
        <w:t xml:space="preserve">5. </w:t>
      </w:r>
      <w:r>
        <w:t>Use watchlist reminders, recommendations, and personalised discovery to improve the 46.23% watchlist conversion rate.</w:t>
      </w:r>
    </w:p>
    <w:p w14:paraId="1F88B676" w14:textId="77777777" w:rsidR="006257DB" w:rsidRDefault="00A60062">
      <w:pPr>
        <w:pStyle w:val="TinyBody"/>
        <w:spacing w:after="24"/>
        <w:ind w:left="317" w:hanging="259"/>
      </w:pPr>
      <w:r>
        <w:rPr>
          <w:b/>
        </w:rPr>
        <w:t xml:space="preserve">6. </w:t>
      </w:r>
      <w:r>
        <w:t>Prioritise licence renewals using both watch performance and licensing cost, especially for high-performing titles nearing expiry.</w:t>
      </w:r>
    </w:p>
    <w:p w14:paraId="5ACC8FC7" w14:textId="77777777" w:rsidR="006257DB" w:rsidRDefault="00A60062">
      <w:pPr>
        <w:pStyle w:val="TinyBody"/>
        <w:spacing w:after="24"/>
        <w:ind w:left="317" w:hanging="259"/>
      </w:pPr>
      <w:r>
        <w:rPr>
          <w:b/>
        </w:rPr>
        <w:t xml:space="preserve">7. </w:t>
      </w:r>
      <w:r>
        <w:t>Maintain a strong Smart TV and mobile experience because together they account for more than 60% of viewing sessions.</w:t>
      </w:r>
    </w:p>
    <w:p w14:paraId="16873050" w14:textId="77777777" w:rsidR="00136F5D" w:rsidRDefault="00136F5D">
      <w:pPr>
        <w:pStyle w:val="TinyBody"/>
        <w:spacing w:after="24"/>
        <w:ind w:left="317" w:hanging="259"/>
      </w:pPr>
    </w:p>
    <w:p w14:paraId="74B4A6FF" w14:textId="77777777" w:rsidR="006257DB" w:rsidRDefault="00A60062">
      <w:pPr>
        <w:pStyle w:val="SectionHead"/>
        <w:keepNext/>
      </w:pPr>
      <w:r>
        <w:t>7. Conclusion</w:t>
      </w:r>
    </w:p>
    <w:p w14:paraId="6DD66865" w14:textId="77777777" w:rsidR="00136F5D" w:rsidRDefault="00136F5D">
      <w:pPr>
        <w:pStyle w:val="SectionHead"/>
        <w:keepNext/>
      </w:pPr>
    </w:p>
    <w:p w14:paraId="51777F72" w14:textId="77777777" w:rsidR="006257DB" w:rsidRDefault="00A60062">
      <w:pPr>
        <w:pStyle w:val="TinyBody"/>
        <w:jc w:val="both"/>
      </w:pPr>
      <w:r>
        <w:t>The StreamFlix analysis shows strong engagement, positive customer sentiment, and continued subscriber growth across the available data. The platform exceeds the project targets for active subscriber rate, average completion rate, churn rate, and watchlist conversion.</w:t>
      </w:r>
    </w:p>
    <w:p w14:paraId="70610729" w14:textId="77777777" w:rsidR="006257DB" w:rsidRDefault="00A60062">
      <w:pPr>
        <w:pStyle w:val="TinyBody"/>
        <w:jc w:val="both"/>
      </w:pPr>
      <w:r>
        <w:t>Subscriber retention, content investment efficiency, and licence renewal decisions remain key areas for management attention. Combining subscriber behaviour, viewing patterns, customer feedback, and catalogue economics can support more data-driven decisions about content investment, retention, and future growth.</w:t>
      </w:r>
    </w:p>
    <w:sectPr w:rsidR="006257DB" w:rsidSect="00034616">
      <w:footerReference w:type="default" r:id="rId8"/>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12CA" w14:textId="77777777" w:rsidR="00A60062" w:rsidRDefault="00A60062">
      <w:pPr>
        <w:spacing w:after="0" w:line="240" w:lineRule="auto"/>
      </w:pPr>
      <w:r>
        <w:separator/>
      </w:r>
    </w:p>
  </w:endnote>
  <w:endnote w:type="continuationSeparator" w:id="0">
    <w:p w14:paraId="38B9C585" w14:textId="77777777" w:rsidR="00A60062" w:rsidRDefault="00A60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D12E" w14:textId="77777777" w:rsidR="006257DB" w:rsidRDefault="00A60062">
    <w:pPr>
      <w:pStyle w:val="TinyBody"/>
      <w:jc w:val="center"/>
    </w:pPr>
    <w:proofErr w:type="spellStart"/>
    <w:r>
      <w:t>StreamFlix</w:t>
    </w:r>
    <w:proofErr w:type="spellEnd"/>
    <w:r>
      <w:t xml:space="preserve"> Content Analytics | Management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01B88" w14:textId="77777777" w:rsidR="00A60062" w:rsidRDefault="00A60062">
      <w:pPr>
        <w:spacing w:after="0" w:line="240" w:lineRule="auto"/>
      </w:pPr>
      <w:r>
        <w:separator/>
      </w:r>
    </w:p>
  </w:footnote>
  <w:footnote w:type="continuationSeparator" w:id="0">
    <w:p w14:paraId="49C2FB69" w14:textId="77777777" w:rsidR="00A60062" w:rsidRDefault="00A60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707705">
    <w:abstractNumId w:val="8"/>
  </w:num>
  <w:num w:numId="2" w16cid:durableId="2110467348">
    <w:abstractNumId w:val="6"/>
  </w:num>
  <w:num w:numId="3" w16cid:durableId="636372332">
    <w:abstractNumId w:val="5"/>
  </w:num>
  <w:num w:numId="4" w16cid:durableId="1924560118">
    <w:abstractNumId w:val="4"/>
  </w:num>
  <w:num w:numId="5" w16cid:durableId="2112428415">
    <w:abstractNumId w:val="7"/>
  </w:num>
  <w:num w:numId="6" w16cid:durableId="292757380">
    <w:abstractNumId w:val="3"/>
  </w:num>
  <w:num w:numId="7" w16cid:durableId="1551651765">
    <w:abstractNumId w:val="2"/>
  </w:num>
  <w:num w:numId="8" w16cid:durableId="493687403">
    <w:abstractNumId w:val="1"/>
  </w:num>
  <w:num w:numId="9" w16cid:durableId="57987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F5D"/>
    <w:rsid w:val="0015074B"/>
    <w:rsid w:val="0029639D"/>
    <w:rsid w:val="00326F90"/>
    <w:rsid w:val="006257DB"/>
    <w:rsid w:val="007134F8"/>
    <w:rsid w:val="00A60062"/>
    <w:rsid w:val="00AA1D8D"/>
    <w:rsid w:val="00B47730"/>
    <w:rsid w:val="00CB0664"/>
    <w:rsid w:val="00DB3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5A8A0"/>
  <w14:defaultImageDpi w14:val="300"/>
  <w15:docId w15:val="{1C2458EC-7281-4B05-8702-FA6EF5CA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80" w:line="240" w:lineRule="auto"/>
    </w:pPr>
    <w:rPr>
      <w:rFonts w:ascii="Aptos" w:eastAsia="Aptos" w:hAnsi="Aptos"/>
      <w:b/>
      <w:color w:val="17365D"/>
      <w:sz w:val="36"/>
    </w:rPr>
  </w:style>
  <w:style w:type="paragraph" w:customStyle="1" w:styleId="SectionHead">
    <w:name w:val="SectionHead"/>
    <w:pPr>
      <w:spacing w:before="80" w:after="40" w:line="240" w:lineRule="auto"/>
    </w:pPr>
    <w:rPr>
      <w:rFonts w:ascii="Aptos" w:eastAsia="Aptos" w:hAnsi="Aptos"/>
      <w:b/>
      <w:color w:val="17365D"/>
      <w:sz w:val="27"/>
    </w:rPr>
  </w:style>
  <w:style w:type="paragraph" w:customStyle="1" w:styleId="SubHead">
    <w:name w:val="SubHead"/>
    <w:pPr>
      <w:spacing w:before="60" w:after="20" w:line="240" w:lineRule="auto"/>
    </w:pPr>
    <w:rPr>
      <w:rFonts w:ascii="Aptos" w:eastAsia="Aptos" w:hAnsi="Aptos"/>
      <w:b/>
      <w:color w:val="2F5597"/>
      <w:sz w:val="21"/>
    </w:rPr>
  </w:style>
  <w:style w:type="paragraph" w:customStyle="1" w:styleId="SmallBody">
    <w:name w:val="SmallBody"/>
    <w:pPr>
      <w:spacing w:after="30" w:line="240" w:lineRule="auto"/>
    </w:pPr>
    <w:rPr>
      <w:rFonts w:ascii="Aptos" w:eastAsia="Aptos" w:hAnsi="Aptos"/>
      <w:color w:val="222222"/>
      <w:sz w:val="18"/>
    </w:rPr>
  </w:style>
  <w:style w:type="paragraph" w:customStyle="1" w:styleId="TinyBody">
    <w:name w:val="TinyBody"/>
    <w:pPr>
      <w:spacing w:after="20" w:line="240" w:lineRule="auto"/>
    </w:pPr>
    <w:rPr>
      <w:rFonts w:ascii="Aptos" w:eastAsia="Aptos" w:hAnsi="Aptos"/>
      <w:color w:val="22222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Ghanta</cp:lastModifiedBy>
  <cp:revision>2</cp:revision>
  <dcterms:created xsi:type="dcterms:W3CDTF">2026-09-02T16:55:00Z</dcterms:created>
  <dcterms:modified xsi:type="dcterms:W3CDTF">2026-09-02T16:55:00Z</dcterms:modified>
  <cp:category/>
</cp:coreProperties>
</file>