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sz w:val="56"/>
          <w:szCs w:val="56"/>
        </w:rPr>
        <w:t xml:space="preserve">iotty Trade Partner Program</w:t>
      </w:r>
    </w:p>
    <w:p>
      <w:pPr>
        <w:spacing w:after="400"/>
        <w:jc w:val="center"/>
      </w:pPr>
      <w:r>
        <w:rPr>
          <w:color w:val="595959"/>
          <w:sz w:val="32"/>
          <w:szCs w:val="32"/>
        </w:rPr>
        <w:t xml:space="preserve">Pilot Plan &amp; Outreach Strategy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Prepared for Bryan Welfel / iotty  ·  Prepared by Ryan Sparks, Sparks Curiosity Studios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July 29, 2026  ·  iottytradepartners.com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 w:line="276"/>
      </w:pPr>
      <w:r>
        <w:t xml:space="preserve">iotty sells a premium, Italian-designed tempered-glass smart switch into a market where the trade — electricians, custom integrators, builders, and designers — decides what actually gets installed in walls. Today iotty is direct-to-consumer only, with no trade pricing, no installer directory, and no professional channel. That is the gap this program closes.</w:t>
      </w:r>
    </w:p>
    <w:p>
      <w:pPr>
        <w:spacing w:after="160" w:line="276"/>
      </w:pPr>
      <w:r>
        <w:t xml:space="preserve">The proposal: launch a national, three-tier </w:t>
      </w:r>
      <w:r>
        <w:rPr>
          <w:b/>
          <w:bCs/>
        </w:rPr>
        <w:t xml:space="preserve">iotty Trade Partners</w:t>
      </w:r>
      <w:r>
        <w:t xml:space="preserve"> program with a 90-day pilot built around a </w:t>
      </w:r>
      <w:r>
        <w:rPr>
          <w:b/>
          <w:bCs/>
        </w:rPr>
        <w:t xml:space="preserve">Founding Partner</w:t>
      </w:r>
      <w:r>
        <w:t xml:space="preserve"> offer. The pilot goal is 50 approved partners, 25 activated with a demo kit, and 10 producing repeat project orders — enough signal to prove per-partner economics before scaling spend.</w:t>
      </w:r>
    </w:p>
    <w:p>
      <w:pPr>
        <w:spacing w:after="160" w:line="276"/>
      </w:pPr>
      <w:r>
        <w:t xml:space="preserve">The strategy runs in four movements: </w:t>
      </w:r>
      <w:r>
        <w:rPr>
          <w:b/>
          <w:bCs/>
        </w:rPr>
        <w:t xml:space="preserve">Introduce</w:t>
      </w:r>
      <w:r>
        <w:t xml:space="preserve"> (the landing page and first-touch outreach), </w:t>
      </w:r>
      <w:r>
        <w:rPr>
          <w:b/>
          <w:bCs/>
        </w:rPr>
        <w:t xml:space="preserve">Entice</w:t>
      </w:r>
      <w:r>
        <w:t xml:space="preserve"> (the founding-partner hook and demo kit), </w:t>
      </w:r>
      <w:r>
        <w:rPr>
          <w:b/>
          <w:bCs/>
        </w:rPr>
        <w:t xml:space="preserve">Sell</w:t>
      </w:r>
      <w:r>
        <w:t xml:space="preserve"> (the call flow that converts an application into a first project order), and </w:t>
      </w:r>
      <w:r>
        <w:rPr>
          <w:b/>
          <w:bCs/>
        </w:rPr>
        <w:t xml:space="preserve">Manage</w:t>
      </w:r>
      <w:r>
        <w:t xml:space="preserve"> (the operating cadence that turns a first order into a reordering account).</w:t>
      </w:r>
    </w:p>
    <w:p>
      <w:pPr>
        <w:pStyle w:val="Heading1"/>
        <w:spacing w:after="160" w:before="320"/>
      </w:pPr>
      <w:r>
        <w:t xml:space="preserve">2. Why the Trade Channel — and Why Now</w:t>
      </w:r>
    </w:p>
    <w:p>
      <w:pPr>
        <w:spacing w:after="160" w:line="276"/>
      </w:pPr>
      <w:r>
        <w:rPr>
          <w:b/>
          <w:bCs/>
        </w:rPr>
        <w:t xml:space="preserve">The product sells itself in the hand, not on a webpage. </w:t>
      </w:r>
      <w:r>
        <w:t xml:space="preserve">A backlit glass switch at $90–$200 per gang is an impulse-resistant purchase online, but it is an easy upsell in person: an electrician doing a $30k renovation, an integrator specing a whole-home system, or a designer choosing wall finishes can add iotty to a project where $150 per switch is a rounding error on the budget.</w:t>
      </w:r>
    </w:p>
    <w:p>
      <w:pPr>
        <w:spacing w:after="160" w:line="276"/>
      </w:pPr>
      <w:r>
        <w:rPr>
          <w:b/>
          <w:bCs/>
        </w:rPr>
        <w:t xml:space="preserve">The trade multiplies revenue per relationship. </w:t>
      </w:r>
      <w:r>
        <w:t xml:space="preserve">A consumer buys one to four switches once. An active electrician or integrator touches dozens of homes a year; a production builder touches hundreds. One converted partner is worth an entire month of D2C ad spend.</w:t>
      </w:r>
    </w:p>
    <w:p>
      <w:pPr>
        <w:spacing w:after="160" w:line="276"/>
      </w:pPr>
      <w:r>
        <w:rPr>
          <w:b/>
          <w:bCs/>
        </w:rPr>
        <w:t xml:space="preserve">Timing: the pre-order window is founding-partner leverage. </w:t>
      </w:r>
      <w:r>
        <w:t xml:space="preserve">The current US line (1-gang $90, 2-gang $130, 3-gang $165, 4-gang $200, dimmer module $27 required per dimmable switch; black or white; UL #E527071 + TUV; 1-year limited US warranty) is listed as pre-order with estimated October 2026 shipping (verify current status). Rather than a liability, this is the pitch: get founding-partner pricing and a directory listing locked in before the line ships and the program opens to everyone.</w:t>
      </w:r>
    </w:p>
    <w:p>
      <w:pPr>
        <w:spacing w:after="160" w:line="276"/>
      </w:pPr>
      <w:r>
        <w:rPr>
          <w:b/>
          <w:bCs/>
        </w:rPr>
        <w:t xml:space="preserve">The competition validates the play. </w:t>
      </w:r>
      <w:r>
        <w:t xml:space="preserve">Lutron’s Preferred Pro program (free to join, Bronze-to-Platinum tiers on rolling 12-month logged volume, installer-directory listing, dedicated support line, free training) is a major reason electricians default to Caséta/RA3. Leviton runs My Leviton Pro for smart-home installers; Brilliant runs dedicated builder and custom-installer programs. iotty can’t out-spend them, but it can out-margin and out-design them for the premium residential niche.</w:t>
      </w:r>
    </w:p>
    <w:p>
      <w:pPr>
        <w:pStyle w:val="Heading1"/>
        <w:spacing w:after="160" w:before="320"/>
      </w:pPr>
      <w:r>
        <w:t xml:space="preserve">3. Benchmark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460"/>
      </w:tblGrid>
      <w:tr>
        <w:tc>
          <w:tcPr>
            <w:tcW w:type="dxa" w:w="23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3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46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partners get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Lutron Preferred Pro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Free; Bronze/Silver/Gold/Platinum on rolling 12-mo logged installs; no minimums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“Find an Installer” listing, dedicated tech line (Silver+), free training tracks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Leviton My Leviton Pro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+ rewards for smart-home installers</w:t>
            </w:r>
          </w:p>
        </w:tc>
        <w:tc>
          <w:tcPr>
            <w:tcW w:type="dxa" w:w="34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 support, rewards on purchases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Brilliant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Separate builder program and custom-installer program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Model-home/spec pricing, installer support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Designer trade programs (norms)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with credentials (EIN, resale cert, portfolio)</w:t>
            </w:r>
          </w:p>
        </w:tc>
        <w:tc>
          <w:tcPr>
            <w:tcW w:type="dxa" w:w="34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Retail brands 10–20% off; trade-only &amp; lighting brands 30–50% off; Net 30–60 at upper tiers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Two lessons drive the design: </w:t>
      </w:r>
      <w:r>
        <w:rPr>
          <w:b/>
          <w:bCs/>
        </w:rPr>
        <w:t xml:space="preserve">(1)</w:t>
      </w:r>
      <w:r>
        <w:t xml:space="preserve"> make joining frictionless like Lutron — free, no minimums to enter — and </w:t>
      </w:r>
      <w:r>
        <w:rPr>
          <w:b/>
          <w:bCs/>
        </w:rPr>
        <w:t xml:space="preserve">(2)</w:t>
      </w:r>
      <w:r>
        <w:t xml:space="preserve"> price the discount like a premium lighting brand (a meaningful 25–40%), not like a retail loyalty program (10%).</w:t>
      </w:r>
    </w:p>
    <w:p>
      <w:pPr>
        <w:pStyle w:val="Heading1"/>
        <w:spacing w:after="160" w:before="320"/>
      </w:pPr>
      <w:r>
        <w:t xml:space="preserve">4. Proposed Program Structure</w:t>
      </w:r>
    </w:p>
    <w:p>
      <w:pPr>
        <w:pStyle w:val="Heading2"/>
        <w:spacing w:after="120" w:before="240"/>
      </w:pPr>
      <w:r>
        <w:t xml:space="preserve">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 (entry)</w:t>
            </w:r>
          </w:p>
        </w:tc>
        <w:tc>
          <w:tcPr>
            <w:tcW w:type="dxa" w:w="232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2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Elite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Approved application (credential check)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$5k rolling 12-mo purchases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$15k rolling 12-mo purchases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Discount off MSRP</w:t>
            </w:r>
          </w:p>
        </w:tc>
        <w:tc>
          <w:tcPr>
            <w:tcW w:type="dxa" w:w="23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3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23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Directory listing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Featured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Featured + priority lead routing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</w:t>
            </w:r>
          </w:p>
        </w:tc>
        <w:tc>
          <w:tcPr>
            <w:tcW w:type="dxa" w:w="23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 email</w:t>
            </w:r>
          </w:p>
        </w:tc>
        <w:tc>
          <w:tcPr>
            <w:tcW w:type="dxa" w:w="23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 phone line</w:t>
            </w:r>
          </w:p>
        </w:tc>
        <w:tc>
          <w:tcPr>
            <w:tcW w:type="dxa" w:w="23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Dedicated rep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Early access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products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products + roadmap input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23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at order</w:t>
            </w:r>
          </w:p>
        </w:tc>
        <w:tc>
          <w:tcPr>
            <w:tcW w:type="dxa" w:w="23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at order</w:t>
            </w:r>
          </w:p>
        </w:tc>
        <w:tc>
          <w:tcPr>
            <w:tcW w:type="dxa" w:w="23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 30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Co-marketing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Logo/asset kit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Co-branded collateral</w:t>
            </w:r>
          </w:p>
        </w:tc>
        <w:tc>
          <w:tcPr>
            <w:tcW w:type="dxa" w:w="2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Co-op/MDF, case-study features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Partner margin math (the slide that closes deals): </w:t>
      </w:r>
      <w:r>
        <w:t xml:space="preserve">a 2-gang switch at $130 MSRP costs a Trade partner $97.50 and a Pro partner $84.50. Installed and billed at MSRP — or above, bundled into labor — the partner clears roughly $32–$45 per gang box before install labor, on a product that takes the same wire time as a $25 commodity switch. Pitch it as: “same 15 minutes of labor, 4× the ticket.”</w:t>
      </w:r>
    </w:p>
    <w:p>
      <w:pPr>
        <w:pStyle w:val="Heading2"/>
        <w:spacing w:after="120" w:before="240"/>
      </w:pPr>
      <w:r>
        <w:t xml:space="preserve">Application &amp; Verification</w:t>
      </w:r>
    </w:p>
    <w:p>
      <w:pPr>
        <w:spacing w:after="160" w:line="276"/>
      </w:pPr>
      <w:r>
        <w:t xml:space="preserve">Free to apply, roughly a 5-minute form on iottytradepartners.com: business name, trade type, EIN or state license number, website/portfolio or license lookup, and (for resale) a resale-certificate upload. Approve within one business day during the pilot — speed of approval is itself a selling point against big-brand bureaucracy.</w:t>
      </w:r>
    </w:p>
    <w:p>
      <w:pPr>
        <w:pStyle w:val="Heading2"/>
        <w:spacing w:after="120" w:before="240"/>
      </w:pPr>
      <w:r>
        <w:t xml:space="preserve">Demo Kit — the Activation Lever</w:t>
      </w:r>
    </w:p>
    <w:p>
      <w:pPr>
        <w:spacing w:after="160" w:line="276"/>
      </w:pPr>
      <w:r>
        <w:t xml:space="preserve">Approved partners can buy one demo kit at 50% off: 1× 2-gang + 1× 1-gang + 1× dimmer module (≈$247 retail → ≈$123). The kit exists to get glass into hands — a partner who installs iotty in their own home or shows it from a demo board sells it. Kit purchase is the pilot’s “activation” metric.</w:t>
      </w:r>
    </w:p>
    <w:p>
      <w:pPr>
        <w:pStyle w:val="Heading2"/>
        <w:spacing w:after="120" w:before="240"/>
      </w:pPr>
      <w:r>
        <w:t xml:space="preserve">Founding Partner Offer (pilot-only)</w:t>
      </w:r>
    </w:p>
    <w:p>
      <w:pPr>
        <w:spacing w:after="160" w:line="276"/>
      </w:pPr>
      <w:r>
        <w:t xml:space="preserve">The first 50 approved partners get: </w:t>
      </w:r>
      <w:r>
        <w:rPr>
          <w:b/>
          <w:bCs/>
        </w:rPr>
        <w:t xml:space="preserve">Pro-tier pricing (35%) for their first 12 months regardless of volume</w:t>
      </w:r>
      <w:r>
        <w:t xml:space="preserve">, a </w:t>
      </w:r>
      <w:r>
        <w:rPr>
          <w:b/>
          <w:bCs/>
        </w:rPr>
        <w:t xml:space="preserve">free 1-gang switch</w:t>
      </w:r>
      <w:r>
        <w:t xml:space="preserve"> with their demo kit, a </w:t>
      </w:r>
      <w:r>
        <w:rPr>
          <w:b/>
          <w:bCs/>
        </w:rPr>
        <w:t xml:space="preserve">Founding Partner badge</w:t>
      </w:r>
      <w:r>
        <w:t xml:space="preserve"> in the directory, and grandfathered recognition when the program scales. Scarcity is real (50 slots, counted publicly on the site) and it gives the outreach a reason to exist now.</w:t>
      </w:r>
    </w:p>
    <w:p>
      <w:pPr>
        <w:pStyle w:val="Heading1"/>
        <w:spacing w:after="160" w:before="320"/>
      </w:pPr>
      <w:r>
        <w:t xml:space="preserve">5. Pilot Scope, Goals &amp; Success Criteria</w:t>
      </w:r>
    </w:p>
    <w:p>
      <w:pPr>
        <w:spacing w:after="160" w:line="276"/>
      </w:pPr>
      <w:r>
        <w:rPr>
          <w:b/>
          <w:bCs/>
        </w:rPr>
        <w:t xml:space="preserve">Duration: </w:t>
      </w:r>
      <w:r>
        <w:t xml:space="preserve">90 days from landing-page live.  </w:t>
      </w:r>
      <w:r>
        <w:rPr>
          <w:b/>
          <w:bCs/>
        </w:rPr>
        <w:t xml:space="preserve">Geography: </w:t>
      </w:r>
      <w:r>
        <w:t xml:space="preserve">national (US).  </w:t>
      </w:r>
      <w:r>
        <w:rPr>
          <w:b/>
          <w:bCs/>
        </w:rPr>
        <w:t xml:space="preserve">Segments: </w:t>
      </w:r>
      <w:r>
        <w:t xml:space="preserve">all four, with electricians and integrators as primary (they buy volume) and builders/designers as secondary (they spec volume).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Funnel stage</w:t>
            </w:r>
          </w:p>
        </w:tc>
        <w:tc>
          <w:tcPr>
            <w:tcW w:type="dxa" w:w="2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396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Landing-page conversion, outreach reply rate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Approved partners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50 (Founding cap)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Approval rate, time-to-approve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Activated (demo kit)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Activation rate ≥ 50%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project order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first order value (target ≥ $500)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 order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Reorder rate, 60-day repeat window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Partner-sourced revenue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$25k+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Revenue per active partner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rPr>
          <w:b/>
          <w:bCs/>
        </w:rPr>
        <w:t xml:space="preserve">Go/no-go at day 90: </w:t>
      </w:r>
      <w:r>
        <w:t xml:space="preserve">if activation is at least 40% and reorders come from at least 30% of activated partners, scale the program (open tiers publicly, add budget). If not, exit interviews with the 50 partners tell us whether the problem is price, product timing, or pitch — cheap learning either way.</w:t>
      </w:r>
    </w:p>
    <w:p>
      <w:pPr>
        <w:pStyle w:val="Heading1"/>
        <w:spacing w:after="160" w:before="320"/>
      </w:pPr>
      <w:r>
        <w:t xml:space="preserve">6. Segment Playbook</w:t>
      </w:r>
    </w:p>
    <w:p>
      <w:pPr>
        <w:spacing w:after="160" w:line="276"/>
      </w:pPr>
      <w:r>
        <w:rPr>
          <w:b/>
          <w:bCs/>
        </w:rPr>
        <w:t xml:space="preserve">Electricians / electrical contractors — the volume engine. </w:t>
      </w:r>
      <w:r>
        <w:t xml:space="preserve">Pain: commodity switch work is race-to-the-bottom pricing. Angle: iotty is a ticket-builder — “offer a glass upgrade on every panel or reno job.” They care about install speed (standard box, no hub, 10-minute swap), UL certification, and margin. Find them: state license databases, Facebook/Reddit trade groups, supply-house counter relationships, IEC/NECA chapters. Watch-out: many are loyal to Lutron/Leviton through distributor relationships — position iotty as an additional premium line, not a replacement.</w:t>
      </w:r>
    </w:p>
    <w:p>
      <w:pPr>
        <w:spacing w:after="160" w:line="276"/>
      </w:pPr>
      <w:r>
        <w:rPr>
          <w:b/>
          <w:bCs/>
        </w:rPr>
        <w:t xml:space="preserve">Custom integrators (AV / smart home) — the natural fit. </w:t>
      </w:r>
      <w:r>
        <w:t xml:space="preserve">Pain: clients want switches that match a $200k smart-home aesthetic; Decora plastic doesn’t. Angle: iotty is the finish detail that photographs well — and Wi-Fi/no-hub means no programming labor. They care about reliability, Alexa/Google Home/Siri Shortcuts/SmartThings support, and whether it embarrasses them at the client walkthrough. Find them: CEDIA directory, HTA-certified firms, CE Pro communities. Watch-out: integrators will ask about Control4/Crestron drivers and local API — have an honest answer ready.</w:t>
      </w:r>
    </w:p>
    <w:p>
      <w:pPr>
        <w:spacing w:after="160" w:line="276"/>
      </w:pPr>
      <w:r>
        <w:rPr>
          <w:b/>
          <w:bCs/>
        </w:rPr>
        <w:t xml:space="preserve">Builders / remodelers — the multi-unit whale. </w:t>
      </w:r>
      <w:r>
        <w:t xml:space="preserve">Pain: differentiating spec homes; a “smart home package” as a buyable upgrade. Angle: Brilliant proved builders will spec smart controls when it helps homes sell — iotty at 2–3 switches per home is a cheap wow in the model home. They care about per-unit pricing at volume, availability dates, and warranty/service so they don’t own callbacks. Longer cycle: aim for 2–3 builder conversations in the pilot, not closed volume.</w:t>
      </w:r>
    </w:p>
    <w:p>
      <w:pPr>
        <w:spacing w:after="160" w:line="276"/>
      </w:pPr>
      <w:r>
        <w:rPr>
          <w:b/>
          <w:bCs/>
        </w:rPr>
        <w:t xml:space="preserve">Interior designers / architects — the spec influencers. </w:t>
      </w:r>
      <w:r>
        <w:t xml:space="preserve">Pain: clients ask for smart home but designers hate visible tech. Angle: this is the one switch that belongs on a mood board — Italian tempered glass, black or white, customizable backlight. Economics: designers mostly won’t buy volume; they spec and refer. Give them Trade-tier pricing for client purchases plus a referral path (their electrician of record gets fast-tracked as a partner). Find them: ASID/IIDA chapters, Instagram/Pinterest design accounts, local design-build studios.</w:t>
      </w:r>
    </w:p>
    <w:p>
      <w:pPr>
        <w:pStyle w:val="Heading1"/>
        <w:spacing w:after="160" w:before="320"/>
      </w:pPr>
      <w:r>
        <w:t xml:space="preserve">7. The Outreach Engine: Introduce → Entice → Sell</w:t>
      </w:r>
    </w:p>
    <w:p>
      <w:pPr>
        <w:pStyle w:val="Heading2"/>
        <w:spacing w:after="120" w:before="240"/>
      </w:pPr>
      <w:r>
        <w:t xml:space="preserve">Introduce (weeks 1–2, then always-on)</w:t>
      </w:r>
    </w:p>
    <w:p>
      <w:pPr>
        <w:spacing w:after="160" w:line="276"/>
      </w:pPr>
      <w:r>
        <w:t xml:space="preserve">The landing page at iottytradepartners.com is the whole first act: hero shot of the glass switch in a designed room, the margin-math table, the three tiers, the Founding Partner counter (“37 of 50 slots remaining”), and a 5-minute application. Every outreach touch points here — the page does the explaining so the emails can stay short.</w:t>
      </w:r>
    </w:p>
    <w:p>
      <w:pPr>
        <w:spacing w:after="160" w:line="276"/>
      </w:pPr>
      <w:r>
        <w:t xml:space="preserve">Round 1 runs </w:t>
      </w:r>
      <w:r>
        <w:rPr>
          <w:b/>
          <w:bCs/>
        </w:rPr>
        <w:t xml:space="preserve">phone and email together as co-primary channels</w:t>
      </w:r>
      <w:r>
        <w:t xml:space="preserve"> in a 14-day, 8-touch cadence: Email 1 in the morning, Call 1 behind it the same afternoon; four calls and four emails total per contact. Full scripts, voicemails, and call windows live in the Round 1 Outreach Playbook. Contacts come from license databases and the CEDIA directory. Supporting channels: LinkedIn touches to owners/principals (Day 3 of the cadence), trade communities and Facebook groups (soft-touch, value-first posts, not spam), and a short PR/announcement push to CE Pro-type trade press. Calling matters for this audience specifically: electricians and remodelers pick up in truck-time windows (6:30–8:00 AM, 3:30–5:30 PM local) and a live conversation converts to an application at multiples of cold email alone.</w:t>
      </w:r>
    </w:p>
    <w:p>
      <w:pPr>
        <w:pStyle w:val="Heading2"/>
        <w:spacing w:after="120" w:before="240"/>
      </w:pPr>
      <w:r>
        <w:t xml:space="preserve">Entice (the hook inside every touch)</w:t>
      </w:r>
    </w:p>
    <w:p>
      <w:pPr>
        <w:spacing w:after="160" w:line="276"/>
      </w:pPr>
      <w:r>
        <w:t xml:space="preserve">Lead with partner economics and scarcity, never with product specs. Three hooks, matched to what each reader cares about: </w:t>
      </w:r>
      <w:r>
        <w:rPr>
          <w:b/>
          <w:bCs/>
        </w:rPr>
        <w:t xml:space="preserve">margin</w:t>
      </w:r>
      <w:r>
        <w:t xml:space="preserve"> (“40 points on a switch your customer will show their friends”), </w:t>
      </w:r>
      <w:r>
        <w:rPr>
          <w:b/>
          <w:bCs/>
        </w:rPr>
        <w:t xml:space="preserve">differentiation</w:t>
      </w:r>
      <w:r>
        <w:t xml:space="preserve"> (“be the only installer in your metro listed on our directory”), and </w:t>
      </w:r>
      <w:r>
        <w:rPr>
          <w:b/>
          <w:bCs/>
        </w:rPr>
        <w:t xml:space="preserve">founding status</w:t>
      </w:r>
      <w:r>
        <w:t xml:space="preserve"> (“50 founding slots nationally, pricing locked 12 months”). The free demo-kit switch is the low-commitment yes: “apply, and your first glass switch is on us.”</w:t>
      </w:r>
    </w:p>
    <w:p>
      <w:pPr>
        <w:pStyle w:val="Heading2"/>
        <w:spacing w:after="120" w:before="240"/>
      </w:pPr>
      <w:r>
        <w:t xml:space="preserve">Sell (application → first order)</w:t>
      </w:r>
    </w:p>
    <w:p>
      <w:pPr>
        <w:spacing w:after="160" w:line="276"/>
      </w:pPr>
      <w:r>
        <w:t xml:space="preserve">Every approved application gets a 15-minute welcome call within 48 hours — this call is the pilot’s highest-leverage activity and should be treated as a sales call, not onboarding admin. Flow: confirm their trade and typical project → show the margin math on their typical job → close the demo kit (“install it in your own place this weekend”) → book a 3-week follow-up tied to a real upcoming project.</w:t>
      </w:r>
    </w:p>
    <w:p>
      <w:pPr>
        <w:spacing w:after="160" w:line="276"/>
      </w:pPr>
      <w:r>
        <w:t xml:space="preserve">Objection handling to script in advance: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“My guys are Lutron-certified.” </w:t>
      </w:r>
      <w:r>
        <w:t xml:space="preserve">Additive premium line, not a rip-and-replace; no certification needed — it’s a standard box install.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“Wi-Fi switches are unreliable.” </w:t>
      </w:r>
      <w:r>
        <w:t xml:space="preserve">Direct 2.4GHz Wi-Fi with no hub to fail, UL listed (#E527071) plus TUV certified, 1-year limited warranty; concede the honest limits — candor builds trust with electricians.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“It’s $130 for a switch.” </w:t>
      </w:r>
      <w:r>
        <w:t xml:space="preserve">That’s the point: you’re not selling a switch, you’re selling a $45-margin upgrade on labor you’re already billing.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“It’s pre-order.” </w:t>
      </w:r>
      <w:r>
        <w:t xml:space="preserve">That’s why founding pricing exists; confirm demo-kit and GA ship dates with Bryan and say them plainly.</w:t>
      </w:r>
    </w:p>
    <w:p>
      <w:pPr>
        <w:pStyle w:val="Heading1"/>
        <w:spacing w:after="160" w:before="320"/>
      </w:pPr>
      <w:r>
        <w:t xml:space="preserve">8. The Hermes Prospecting Engine (Data + Outreach Infrastructure)</w:t>
      </w:r>
    </w:p>
    <w:p>
      <w:pPr>
        <w:spacing w:after="160" w:line="276"/>
      </w:pPr>
      <w:r>
        <w:t xml:space="preserve">The pilot doesn’t run on a static list — it runs on the </w:t>
      </w:r>
      <w:r>
        <w:rPr>
          <w:b/>
          <w:bCs/>
        </w:rPr>
        <w:t xml:space="preserve">Hermes agent stack</w:t>
      </w:r>
      <w:r>
        <w:t xml:space="preserve"> (already proven on the SmoreLeads scraper build) operating as a daily prospecting engine with a goal of </w:t>
      </w:r>
      <w:r>
        <w:rPr>
          <w:b/>
          <w:bCs/>
        </w:rPr>
        <w:t xml:space="preserve">50 new qualified trade contacts per day</w:t>
      </w:r>
      <w:r>
        <w:t xml:space="preserve"> (~250/week, ~1,000/month), feeding the same profile database the future site runs on.</w:t>
      </w:r>
    </w:p>
    <w:p>
      <w:pPr>
        <w:spacing w:after="160" w:line="276"/>
      </w:pPr>
      <w:r>
        <w:rPr>
          <w:b/>
          <w:bCs/>
        </w:rPr>
        <w:t xml:space="preserve">Sourcing (agents, daily). </w:t>
      </w:r>
      <w:r>
        <w:t xml:space="preserve">State electrical-license databases, CEDIA and HTA directories, ASID/IIDA member rosters, Google Maps/reviews for design-build and integration firms, and permit-activity signals where available. Each segment gets its own collector so daily volume can be steered (e.g., 25 electricians, 15 integrators, 5 builders, 5 designers).</w:t>
      </w:r>
    </w:p>
    <w:p>
      <w:pPr>
        <w:spacing w:after="160" w:line="276"/>
      </w:pPr>
      <w:r>
        <w:rPr>
          <w:b/>
          <w:bCs/>
        </w:rPr>
        <w:t xml:space="preserve">Profile-building database. </w:t>
      </w:r>
      <w:r>
        <w:t xml:space="preserve">Every contact lands as an enriched profile — company, principal name, segment, metro/state, license number, email, phone, website/socials, review volume, project focus — plus a fit score that ranks who deserves a phone touch. One Supabase database (the same stack as LeadOS and the SvelteKit site) so prospecting, outreach, and the site share a single source of truth.</w:t>
      </w:r>
    </w:p>
    <w:p>
      <w:pPr>
        <w:spacing w:after="160" w:line="276"/>
      </w:pPr>
      <w:r>
        <w:rPr>
          <w:b/>
          <w:bCs/>
        </w:rPr>
        <w:t xml:space="preserve">Outreach handling. </w:t>
      </w:r>
      <w:r>
        <w:t xml:space="preserve">Hermes drafts and schedules the email touches of the Round 1 cadence per contact, watches for replies, and sets dispositions; the daily call queue is auto-built from the top-scored contacts due for a phone touch. Every dial’s outcome (connect, voicemail, objection heard, DNC) logs back to the profile, so cadence position is always current and no contact gets double-touched.</w:t>
      </w:r>
    </w:p>
    <w:p>
      <w:pPr>
        <w:spacing w:after="160" w:line="276"/>
      </w:pPr>
      <w:r>
        <w:rPr>
          <w:b/>
          <w:bCs/>
        </w:rPr>
        <w:t xml:space="preserve">Built into the site. </w:t>
      </w:r>
      <w:r>
        <w:t xml:space="preserve">The SvelteKit build at iottytradepartners.com and the prospecting database are one system. The partner application writes into the same table Hermes prospects into (a prospect who applies simply changes status); approval auto-generates the directory listing; the founding-slot counter on the landing page reads live from the database; and an admin view shows the full funnel — prospected → contacted → applied → approved → activated → ordering.</w:t>
      </w:r>
    </w:p>
    <w:p>
      <w:pPr>
        <w:spacing w:after="160" w:line="276"/>
      </w:pPr>
      <w:r>
        <w:rPr>
          <w:b/>
          <w:bCs/>
        </w:rPr>
        <w:t xml:space="preserve">Capacity reality. </w:t>
      </w:r>
      <w:r>
        <w:t xml:space="preserve">At 50/day, phone time is the constraint, not data. The cadence emails run for everyone; call blocks work only the top ~15–20 scored contacts per day. Pilot funnel targets in §5 stay as floors — with Hermes volume behind them, applications should overshoot 150, and the constraint to watch becomes welcome-call throughput.</w:t>
      </w:r>
    </w:p>
    <w:p>
      <w:pPr>
        <w:pStyle w:val="Heading1"/>
        <w:spacing w:after="160" w:before="320"/>
      </w:pPr>
      <w:r>
        <w:t xml:space="preserve">9. Managing the Channel</w:t>
      </w:r>
    </w:p>
    <w:p>
      <w:pPr>
        <w:spacing w:after="160" w:line="276"/>
      </w:pPr>
      <w:r>
        <w:rPr>
          <w:b/>
          <w:bCs/>
        </w:rPr>
        <w:t xml:space="preserve">Ordering mechanics. </w:t>
      </w:r>
      <w:r>
        <w:t xml:space="preserve">Simplest pilot-grade setup: run trade orders through the existing Shopify store using tagged B2B customer accounts with automatic tier discounts (Shopify B2B/company profiles or tier-specific discount codes). No separate wholesale portal until volume justifies it. Elite Net-30 can be handled with draft orders plus invoicing. Decision needed from Bryan: whether trade orders ship from the same US fulfillment path as D2C.</w:t>
      </w:r>
    </w:p>
    <w:p>
      <w:pPr>
        <w:spacing w:after="160" w:line="276"/>
      </w:pPr>
      <w:r>
        <w:rPr>
          <w:b/>
          <w:bCs/>
        </w:rPr>
        <w:t xml:space="preserve">Onboarding sequence (automated, five touches over 30 days): </w:t>
      </w:r>
      <w:r>
        <w:t xml:space="preserve">welcome + directory-listing confirmation → demo-kit install guide + asset kit (logos, photography, spec sheets, a one-page client-facing sell sheet) → margin math + how-to-quote guide → case study/social proof → 30-day check-in booking link.</w:t>
      </w:r>
    </w:p>
    <w:p>
      <w:pPr>
        <w:spacing w:after="160" w:line="276"/>
      </w:pPr>
      <w:r>
        <w:rPr>
          <w:b/>
          <w:bCs/>
        </w:rPr>
        <w:t xml:space="preserve">Operating cadence. </w:t>
      </w:r>
      <w:r>
        <w:t xml:space="preserve">Monthly partner email (new products, top-partner spotlight, install photos). Quarterly business-review calls for Pro/Elite (pipeline, upcoming projects, feedback to product). A simple partner-health score — days since last order, demo kit installed yes/no, directory clicks — flags who gets a call each week. During the pilot this is a spreadsheet/CRM view worked weekly; it does not need software.</w:t>
      </w:r>
    </w:p>
    <w:p>
      <w:pPr>
        <w:spacing w:after="160" w:line="276"/>
      </w:pPr>
      <w:r>
        <w:rPr>
          <w:b/>
          <w:bCs/>
        </w:rPr>
        <w:t xml:space="preserve">Rules of the road (set before the first partner signs): </w:t>
      </w:r>
      <w:r>
        <w:t xml:space="preserve">MAP policy (partners don’t advertise below MSRP online — protects everyone’s margin), directory-listing standards, demo-kit limits (one per company), and a clear returns/warranty flow so partners never eat a defective unit (dead-on-arrival units replaced ahead of return; Elite gets advance replacement).</w:t>
      </w:r>
    </w:p>
    <w:p>
      <w:pPr>
        <w:pStyle w:val="Heading1"/>
        <w:spacing w:after="160" w:before="320"/>
      </w:pPr>
      <w:r>
        <w:t xml:space="preserve">10. 90-Day Timeline</w:t>
      </w:r>
    </w:p>
    <w:p>
      <w:pPr>
        <w:spacing w:after="160" w:line="276"/>
      </w:pPr>
      <w:r>
        <w:rPr>
          <w:b/>
          <w:bCs/>
        </w:rPr>
        <w:t xml:space="preserve">Weeks 1–2 — Build: </w:t>
      </w:r>
      <w:r>
        <w:t xml:space="preserve">finalize tiers/pricing with Bryan; landing page + application live on iottytradepartners.com; asset kit and sell sheet done; prospect list built (target: 500 named contacts across the four segments); sequences written.</w:t>
      </w:r>
    </w:p>
    <w:p>
      <w:pPr>
        <w:spacing w:after="160" w:line="276"/>
      </w:pPr>
      <w:r>
        <w:rPr>
          <w:b/>
          <w:bCs/>
        </w:rPr>
        <w:t xml:space="preserve">Weeks 3–6 — Introduce &amp; Entice: </w:t>
      </w:r>
      <w:r>
        <w:t xml:space="preserve">call + email cadence live (Hermes feeding 50 contacts/day, two daily call blocks in trade windows); trade-community seeding; PR note out. Goal: 75 applications, 25 approvals, first demo kits shipped.</w:t>
      </w:r>
    </w:p>
    <w:p>
      <w:pPr>
        <w:spacing w:after="160" w:line="276"/>
      </w:pPr>
      <w:r>
        <w:rPr>
          <w:b/>
          <w:bCs/>
        </w:rPr>
        <w:t xml:space="preserve">Weeks 7–10 — Sell: </w:t>
      </w:r>
      <w:r>
        <w:t xml:space="preserve">welcome calls at full cadence; follow-ups tied to real projects; first project orders land; publish the first partner spotlight. Goal: fill the remaining Founding slots.</w:t>
      </w:r>
    </w:p>
    <w:p>
      <w:pPr>
        <w:spacing w:after="160" w:line="276"/>
      </w:pPr>
      <w:r>
        <w:rPr>
          <w:b/>
          <w:bCs/>
        </w:rPr>
        <w:t xml:space="preserve">Weeks 11–13 — Manage &amp; Measure: </w:t>
      </w:r>
      <w:r>
        <w:t xml:space="preserve">reorder pushes; QBR-lite calls with the top 10; exit interviews with non-activated partners; day-90 readout against the funnel table in §5; scale/iterate decision.</w:t>
      </w:r>
    </w:p>
    <w:p>
      <w:pPr>
        <w:pStyle w:val="Heading1"/>
        <w:spacing w:after="160" w:before="320"/>
      </w:pPr>
      <w:r>
        <w:t xml:space="preserve">11. Open Decisions for Bryan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Margin approval: </w:t>
      </w:r>
      <w:r>
        <w:t xml:space="preserve">confirm landed cost supports 40% off MSRP at Elite — the whole tier table flexes off this number.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Ship dates: </w:t>
      </w:r>
      <w:r>
        <w:t xml:space="preserve">confirm October 2026 pre-order status and whether demo kits can ship early — the founding pitch depends on the honest answer.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Fulfillment &amp; support ownership: </w:t>
      </w:r>
      <w:r>
        <w:t xml:space="preserve">who answers the priority support line, and who ships trade orders.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MAP policy sign-off </w:t>
      </w:r>
      <w:r>
        <w:t xml:space="preserve">and warranty/advance-replacement terms.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Directory build: </w:t>
      </w:r>
      <w:r>
        <w:t xml:space="preserve">the “Find an Installer” page is the single most-cited perk in competitor programs — green-light it as part of the SvelteKit site build.</w:t>
      </w:r>
    </w:p>
    <w:p>
      <w:pPr>
        <w:spacing w:after="0" w:before="300"/>
      </w:pPr>
      <w:r>
        <w:rPr>
          <w:i/>
          <w:iCs/>
          <w:color w:val="595959"/>
          <w:sz w:val="18"/>
          <w:szCs w:val="18"/>
        </w:rPr>
        <w:t xml:space="preserve">Sources: iottysmarthome.com (product line &amp; pricing, July 2026); Lutron Preferred Pro program materials; Leviton My Leviton Pro announcements; Brilliant builder/installer program pages; designer trade-program benchmarks (Procurist 2026 guide).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8A6D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2026-07-29T16:47:15.394Z</dcterms:created>
  <dcterms:modified xsi:type="dcterms:W3CDTF">2026-07-29T16:47:15.394Z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